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</w:t>
      </w:r>
      <w:r>
        <w:drawing>
          <wp:inline>
            <wp:extent cx="6229349" cy="863917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29349" cy="86391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Председатель Совета:</w:t>
      </w:r>
    </w:p>
    <w:p w14:paraId="03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утверждает планы работы Совета;</w:t>
      </w:r>
    </w:p>
    <w:p w14:paraId="04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решает текущие вопросы деятельности Совета;</w:t>
      </w:r>
    </w:p>
    <w:p w14:paraId="05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принимает решения по привлечению в установленном порядке организаций и специалистов для выполнения аналитических и экспертных работ;</w:t>
      </w:r>
    </w:p>
    <w:p w14:paraId="06000000">
      <w:pPr>
        <w:numPr>
          <w:ilvl w:val="0"/>
          <w:numId w:val="1"/>
        </w:num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дает поручения секретарю Совета, членам Совета.</w:t>
      </w:r>
    </w:p>
    <w:p w14:paraId="07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3.3. Секретарь Совета:</w:t>
      </w:r>
    </w:p>
    <w:p w14:paraId="08000000">
      <w:pPr>
        <w:numPr>
          <w:ilvl w:val="0"/>
          <w:numId w:val="2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осуществляет организацию работы по подготовке заседаний Совета;</w:t>
      </w:r>
    </w:p>
    <w:p w14:paraId="09000000">
      <w:pPr>
        <w:numPr>
          <w:ilvl w:val="0"/>
          <w:numId w:val="2"/>
        </w:num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контролирует выполнение решений Совета.</w:t>
      </w:r>
    </w:p>
    <w:p w14:paraId="0A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3.4. Члены Совета:</w:t>
      </w:r>
    </w:p>
    <w:p w14:paraId="0B000000">
      <w:pPr>
        <w:numPr>
          <w:ilvl w:val="0"/>
          <w:numId w:val="3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вносят предложения в планы работы Совета;</w:t>
      </w:r>
    </w:p>
    <w:p w14:paraId="0C000000">
      <w:pPr>
        <w:numPr>
          <w:ilvl w:val="0"/>
          <w:numId w:val="3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участвуют в подготовке материалов к заседаниям Совета, проектов решений Совета;</w:t>
      </w:r>
    </w:p>
    <w:p w14:paraId="0D000000">
      <w:pPr>
        <w:numPr>
          <w:ilvl w:val="0"/>
          <w:numId w:val="3"/>
        </w:num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выполняют поручения Председателя Совета, директора школы.</w:t>
      </w:r>
    </w:p>
    <w:p w14:paraId="0E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3.5. Основной формой деятельности Совета является заседание.</w:t>
      </w:r>
    </w:p>
    <w:p w14:paraId="0F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3.6. Заседание Совета ведет председатель Совета. Председатель Совета вправе поручить вести заседание Совета одному из членов Совета.</w:t>
      </w:r>
    </w:p>
    <w:p w14:paraId="10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Члены Совета обязаны лично участвовать в заседаниях Совета и не вправе делегировать свои полномочия иным лицам.</w:t>
      </w:r>
    </w:p>
    <w:p w14:paraId="11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Если участие члена Совета в заседании не представляется возможным, он обязан представить свое мнение по вопросам повестки заседания Совета в письменном виде.</w:t>
      </w:r>
    </w:p>
    <w:p w14:paraId="1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Члены Совета обладают равными правами при обсуждении рассматриваемых на заседании вопросов.</w:t>
      </w:r>
    </w:p>
    <w:p w14:paraId="1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 решению председателя Совета на заседание Совета могут быть приглашены иные работники школы, представители общественных организаций.</w:t>
      </w:r>
    </w:p>
    <w:p w14:paraId="1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3.7. Заседания Совета проводятся в соответствии с планами работы, утверждаемыми председателем Совета. Предложения в план работы Совета вносят члены Совета.</w:t>
      </w:r>
    </w:p>
    <w:p w14:paraId="15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3.8. По результатам заседаний Совета принимаются решения Совета, которые оформляются протоколами. Протоколы подписываются председательствующим на заседании и секретарем Совета.</w:t>
      </w:r>
    </w:p>
    <w:p w14:paraId="16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Решения Совета принимаются открытым голосованием простым большинством голосов присутствующих на заседании членов Совета.</w:t>
      </w:r>
    </w:p>
    <w:p w14:paraId="17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равенстве голосов решающим является голос председательствующего на заседании Совета.</w:t>
      </w:r>
    </w:p>
    <w:p w14:paraId="18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случае несогласия с принятым решением член Совета вправе изложить в письменном виде свое мнение, которое подлежит приобщению к протоколу заседания Совета.</w:t>
      </w:r>
    </w:p>
    <w:p w14:paraId="19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3.9. На основании решений Совета секретарь Совета готовит докладную записку директору школы, в которой излагает предложения по действиям школы в сфере информационной безопасности обучающихся.</w:t>
      </w: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9_ch" w:type="character">
    <w:name w:val="heading 1"/>
    <w:basedOn w:val="Style_1_ch"/>
    <w:link w:val="Style_9"/>
    <w:rPr>
      <w:rFonts w:asciiTheme="majorAscii" w:hAnsiTheme="majorHAnsi"/>
      <w:b w:val="1"/>
      <w:color w:themeColor="accent1" w:themeShade="BF" w:val="376092"/>
      <w:sz w:val="28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2025-10-29T06:35:07Z</dcterms:modified>
</cp:coreProperties>
</file>