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 w:firstLine="0" w:left="0"/>
        <w:jc w:val="left"/>
        <w:rPr>
          <w:sz w:val="20"/>
        </w:rPr>
      </w:pPr>
    </w:p>
    <w:p w14:paraId="02000000">
      <w:pPr>
        <w:pStyle w:val="Style_1"/>
        <w:spacing w:before="274"/>
        <w:ind w:firstLine="0" w:left="0"/>
        <w:jc w:val="left"/>
      </w:pPr>
      <w:r>
        <w:drawing>
          <wp:inline>
            <wp:extent cx="7334250" cy="1009537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334250" cy="100953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2"/>
        <w:ind w:firstLine="0" w:left="748"/>
        <w:jc w:val="center"/>
      </w:pPr>
    </w:p>
    <w:p w14:paraId="04000000">
      <w:pPr>
        <w:sectPr>
          <w:type w:val="continuous"/>
          <w:pgSz w:h="16840" w:orient="portrait" w:w="11910"/>
          <w:pgMar w:bottom="280" w:left="260" w:right="100" w:top="300"/>
        </w:sectPr>
      </w:pPr>
    </w:p>
    <w:p w14:paraId="05000000">
      <w:pPr>
        <w:pStyle w:val="Style_3"/>
        <w:numPr>
          <w:ilvl w:val="1"/>
          <w:numId w:val="1"/>
        </w:numPr>
        <w:tabs>
          <w:tab w:leader="none" w:pos="1035" w:val="left"/>
        </w:tabs>
        <w:spacing w:after="0" w:before="68" w:line="240" w:lineRule="auto"/>
        <w:ind w:firstLine="0" w:left="589" w:right="747"/>
        <w:jc w:val="both"/>
        <w:rPr>
          <w:sz w:val="24"/>
        </w:rPr>
      </w:pPr>
      <w:r>
        <w:rPr>
          <w:sz w:val="24"/>
        </w:rPr>
        <w:t>Флаг может быть поднят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торжественных мероприятий. Флаг поднимается 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массовых мероприятий (в том числе спортивных и физкультурно-оздоровительных), проводимых образовательной организацией.</w:t>
      </w:r>
    </w:p>
    <w:p w14:paraId="06000000">
      <w:pPr>
        <w:pStyle w:val="Style_3"/>
        <w:numPr>
          <w:ilvl w:val="1"/>
          <w:numId w:val="1"/>
        </w:numPr>
        <w:tabs>
          <w:tab w:leader="none" w:pos="1131" w:val="left"/>
        </w:tabs>
        <w:spacing w:after="0" w:before="1" w:line="240" w:lineRule="auto"/>
        <w:ind w:firstLine="0" w:left="589" w:right="746"/>
        <w:jc w:val="both"/>
        <w:rPr>
          <w:sz w:val="24"/>
        </w:rPr>
      </w:pPr>
      <w:r>
        <w:rPr>
          <w:sz w:val="24"/>
        </w:rPr>
        <w:t>Каждая учебная неделя начинается с торжественной линейки, на которой происходит поднятие Флага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прослушивание Гимна. Конкретное время начала и продолжительность линейки устанавливается приказом директора образовательной организации.</w:t>
      </w:r>
    </w:p>
    <w:p w14:paraId="07000000">
      <w:pPr>
        <w:pStyle w:val="Style_3"/>
        <w:numPr>
          <w:ilvl w:val="1"/>
          <w:numId w:val="1"/>
        </w:numPr>
        <w:tabs>
          <w:tab w:leader="none" w:pos="1176" w:val="left"/>
        </w:tabs>
        <w:spacing w:after="0" w:before="0" w:line="240" w:lineRule="auto"/>
        <w:ind w:firstLine="0" w:left="589" w:right="747"/>
        <w:jc w:val="both"/>
        <w:rPr>
          <w:sz w:val="24"/>
        </w:rPr>
      </w:pPr>
      <w:r>
        <w:rPr>
          <w:sz w:val="24"/>
        </w:rPr>
        <w:t>Подъем</w:t>
      </w:r>
      <w:r>
        <w:rPr>
          <w:spacing w:val="80"/>
          <w:sz w:val="24"/>
        </w:rPr>
        <w:t xml:space="preserve"> </w:t>
      </w:r>
      <w:r>
        <w:rPr>
          <w:sz w:val="24"/>
        </w:rPr>
        <w:t>Флага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по команде</w:t>
      </w:r>
      <w:r>
        <w:rPr>
          <w:spacing w:val="8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 или ведущего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 построении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организации в соответствии с Регламентом, изложенным в приложении 1 к Положению.</w:t>
      </w:r>
    </w:p>
    <w:p w14:paraId="08000000">
      <w:pPr>
        <w:pStyle w:val="Style_3"/>
        <w:numPr>
          <w:ilvl w:val="1"/>
          <w:numId w:val="1"/>
        </w:numPr>
        <w:tabs>
          <w:tab w:leader="none" w:pos="1109" w:val="left"/>
        </w:tabs>
        <w:spacing w:after="0" w:before="0" w:line="240" w:lineRule="auto"/>
        <w:ind w:firstLine="0" w:left="589" w:right="74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80"/>
          <w:sz w:val="24"/>
        </w:rPr>
        <w:t xml:space="preserve"> </w:t>
      </w:r>
      <w:r>
        <w:rPr>
          <w:sz w:val="24"/>
        </w:rPr>
        <w:t>Флага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80"/>
          <w:sz w:val="24"/>
        </w:rPr>
        <w:t xml:space="preserve"> </w:t>
      </w:r>
      <w:r>
        <w:rPr>
          <w:sz w:val="24"/>
        </w:rPr>
        <w:t>знаменщиков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из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 работников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проявивших выдающиеся успехи в разных сферах деятельности. В знаменную группу входят обучающиеся, имеющие учебные, спортивные, творческие и общественно значимые достижения.</w:t>
      </w:r>
    </w:p>
    <w:p w14:paraId="09000000">
      <w:pPr>
        <w:pStyle w:val="Style_3"/>
        <w:numPr>
          <w:ilvl w:val="1"/>
          <w:numId w:val="1"/>
        </w:numPr>
        <w:tabs>
          <w:tab w:leader="none" w:pos="1066" w:val="left"/>
        </w:tabs>
        <w:spacing w:after="0" w:before="0" w:line="240" w:lineRule="auto"/>
        <w:ind w:firstLine="0" w:left="589" w:right="743"/>
        <w:jc w:val="both"/>
        <w:rPr>
          <w:sz w:val="24"/>
        </w:rPr>
      </w:pPr>
      <w:r>
        <w:rPr>
          <w:sz w:val="24"/>
        </w:rPr>
        <w:t>Флаг поднимается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мачте (флагштоке). Мачта (флагшток) устанавливается, как правило, вблизи</w:t>
      </w:r>
      <w:r>
        <w:rPr>
          <w:spacing w:val="80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71"/>
          <w:sz w:val="24"/>
        </w:rPr>
        <w:t xml:space="preserve"> </w:t>
      </w:r>
      <w:r>
        <w:rPr>
          <w:sz w:val="24"/>
        </w:rPr>
        <w:t>обеспечивающем</w:t>
      </w:r>
      <w:r>
        <w:rPr>
          <w:spacing w:val="70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71"/>
          <w:sz w:val="24"/>
        </w:rPr>
        <w:t xml:space="preserve"> </w:t>
      </w:r>
      <w:r>
        <w:rPr>
          <w:sz w:val="24"/>
        </w:rPr>
        <w:t>видимость</w:t>
      </w:r>
      <w:r>
        <w:rPr>
          <w:spacing w:val="72"/>
          <w:sz w:val="24"/>
        </w:rPr>
        <w:t xml:space="preserve"> </w:t>
      </w:r>
      <w:r>
        <w:rPr>
          <w:sz w:val="24"/>
        </w:rPr>
        <w:t>Флага</w:t>
      </w:r>
      <w:r>
        <w:rPr>
          <w:spacing w:val="70"/>
          <w:sz w:val="24"/>
        </w:rPr>
        <w:t xml:space="preserve"> </w:t>
      </w:r>
      <w:r>
        <w:rPr>
          <w:sz w:val="24"/>
        </w:rPr>
        <w:t>и возможность</w:t>
      </w:r>
      <w:r>
        <w:rPr>
          <w:spacing w:val="7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0"/>
          <w:sz w:val="24"/>
        </w:rPr>
        <w:t xml:space="preserve"> </w:t>
      </w:r>
      <w:r>
        <w:rPr>
          <w:sz w:val="24"/>
        </w:rPr>
        <w:t>обучающихся и административного персонала.</w:t>
      </w:r>
    </w:p>
    <w:p w14:paraId="0A000000">
      <w:pPr>
        <w:pStyle w:val="Style_1"/>
        <w:spacing w:before="1"/>
        <w:ind w:right="743"/>
      </w:pPr>
      <w:r>
        <w:t>Мачта (флагшток) для подъема Флага изготавливается из металлических труб. Высота мачты (флагштока), расположенного вблизи здания образовательной организации – 10 м,</w:t>
      </w:r>
      <w:r>
        <w:rPr>
          <w:spacing w:val="40"/>
        </w:rPr>
        <w:t xml:space="preserve"> </w:t>
      </w:r>
      <w:r>
        <w:t>расположенного в помещении образовательной организации – 5 м. В</w:t>
      </w:r>
      <w:r>
        <w:rPr>
          <w:spacing w:val="-2"/>
        </w:rPr>
        <w:t xml:space="preserve"> </w:t>
      </w:r>
      <w:r>
        <w:t>нижней и верхней частях мачты</w:t>
      </w:r>
      <w:r>
        <w:rPr>
          <w:spacing w:val="80"/>
        </w:rPr>
        <w:t xml:space="preserve">  </w:t>
      </w:r>
      <w:r>
        <w:t>(флагштока)</w:t>
      </w:r>
      <w:r>
        <w:rPr>
          <w:spacing w:val="80"/>
        </w:rPr>
        <w:t xml:space="preserve">  </w:t>
      </w:r>
      <w:r>
        <w:t>крепятся</w:t>
      </w:r>
      <w:r>
        <w:rPr>
          <w:spacing w:val="80"/>
        </w:rPr>
        <w:t xml:space="preserve">  </w:t>
      </w:r>
      <w:r>
        <w:t>два</w:t>
      </w:r>
      <w:r>
        <w:rPr>
          <w:spacing w:val="80"/>
        </w:rPr>
        <w:t xml:space="preserve">  </w:t>
      </w:r>
      <w:r>
        <w:t>ролика.</w:t>
      </w:r>
      <w:r>
        <w:rPr>
          <w:spacing w:val="80"/>
        </w:rPr>
        <w:t xml:space="preserve">  </w:t>
      </w:r>
      <w:r>
        <w:t>К роликам</w:t>
      </w:r>
      <w:r>
        <w:rPr>
          <w:spacing w:val="80"/>
        </w:rPr>
        <w:t xml:space="preserve">  </w:t>
      </w:r>
      <w:r>
        <w:t>прикрепляется</w:t>
      </w:r>
      <w:r>
        <w:rPr>
          <w:spacing w:val="80"/>
        </w:rPr>
        <w:t xml:space="preserve">  </w:t>
      </w:r>
      <w:r>
        <w:t>стальной</w:t>
      </w:r>
      <w:r>
        <w:rPr>
          <w:spacing w:val="80"/>
        </w:rPr>
        <w:t xml:space="preserve">  </w:t>
      </w:r>
      <w:r>
        <w:t>трос с приспособлениями для крепления Флага.</w:t>
      </w:r>
    </w:p>
    <w:p w14:paraId="0B000000">
      <w:pPr>
        <w:pStyle w:val="Style_3"/>
        <w:numPr>
          <w:ilvl w:val="1"/>
          <w:numId w:val="1"/>
        </w:numPr>
        <w:tabs>
          <w:tab w:leader="none" w:pos="1176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Полотнище Флага на флагштоке, расположенного вблизи здания образовательной организации, имеет длину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м и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м. Полотнище Флага на флагштоке, расположенного в помещении образовательной организации, имеет длину 1,4 м и ширину 0,9 м.</w:t>
      </w:r>
    </w:p>
    <w:p w14:paraId="0C000000">
      <w:pPr>
        <w:pStyle w:val="Style_3"/>
        <w:numPr>
          <w:ilvl w:val="1"/>
          <w:numId w:val="1"/>
        </w:numPr>
        <w:tabs>
          <w:tab w:leader="none" w:pos="1059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Спуск Флага производится знаменной группой в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 учебной недели (пятница для 2,4 классов, суббота – для 6,8,10 классов) по команде дежурного администратора образовательной организации или ведущего мероприятия при построении обучающихся.</w:t>
      </w:r>
    </w:p>
    <w:p w14:paraId="0D000000">
      <w:pPr>
        <w:pStyle w:val="Style_3"/>
        <w:numPr>
          <w:ilvl w:val="1"/>
          <w:numId w:val="1"/>
        </w:numPr>
        <w:tabs>
          <w:tab w:leader="none" w:pos="1047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После спуска Флаг доставляется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комнату его хранения. При необходимости принимаются меры по его сушке и чистке.</w:t>
      </w:r>
    </w:p>
    <w:p w14:paraId="0E000000">
      <w:pPr>
        <w:pStyle w:val="Style_3"/>
        <w:numPr>
          <w:ilvl w:val="1"/>
          <w:numId w:val="1"/>
        </w:numPr>
        <w:tabs>
          <w:tab w:leader="none" w:pos="1147" w:val="left"/>
        </w:tabs>
        <w:spacing w:after="0" w:before="1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Контроль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 Флага еженедельно осуществляет работник, назначенный приказом директора образовательной организации (ответственный за хранение Флага). Результаты еженедельного осмотра заносятся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 осмотра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выдачи Государственного флага Российской </w:t>
      </w:r>
      <w:r>
        <w:rPr>
          <w:spacing w:val="-2"/>
          <w:sz w:val="24"/>
        </w:rPr>
        <w:t>Федерации.</w:t>
      </w:r>
    </w:p>
    <w:p w14:paraId="0F000000">
      <w:pPr>
        <w:pStyle w:val="Style_3"/>
        <w:numPr>
          <w:ilvl w:val="1"/>
          <w:numId w:val="1"/>
        </w:numPr>
        <w:tabs>
          <w:tab w:leader="none" w:pos="1129" w:val="left"/>
        </w:tabs>
        <w:spacing w:after="0" w:before="0" w:line="240" w:lineRule="auto"/>
        <w:ind w:hanging="540" w:left="1129" w:right="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Флаг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заменен</w:t>
      </w:r>
      <w:r>
        <w:rPr>
          <w:spacing w:val="-2"/>
          <w:sz w:val="24"/>
        </w:rPr>
        <w:t xml:space="preserve"> запасным.</w:t>
      </w:r>
    </w:p>
    <w:p w14:paraId="10000000">
      <w:pPr>
        <w:pStyle w:val="Style_3"/>
        <w:numPr>
          <w:ilvl w:val="1"/>
          <w:numId w:val="1"/>
        </w:numPr>
        <w:tabs>
          <w:tab w:leader="none" w:pos="1157" w:val="left"/>
        </w:tabs>
        <w:spacing w:after="0" w:before="0" w:line="240" w:lineRule="auto"/>
        <w:ind w:firstLine="0" w:left="589" w:right="744"/>
        <w:jc w:val="both"/>
        <w:rPr>
          <w:sz w:val="24"/>
        </w:rPr>
      </w:pPr>
      <w:r>
        <w:rPr>
          <w:sz w:val="24"/>
        </w:rPr>
        <w:t>Во время церемоний и мероприятий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 особой торжественной атмосферы может использоваться ритуал вноса и выноса Флага знаменной группой в количестве четырех человек: руководителя</w:t>
      </w:r>
      <w:r>
        <w:rPr>
          <w:spacing w:val="66"/>
          <w:sz w:val="24"/>
        </w:rPr>
        <w:t xml:space="preserve"> </w:t>
      </w:r>
      <w:r>
        <w:rPr>
          <w:sz w:val="24"/>
        </w:rPr>
        <w:t>и трех</w:t>
      </w:r>
      <w:r>
        <w:rPr>
          <w:spacing w:val="66"/>
          <w:sz w:val="24"/>
        </w:rPr>
        <w:t xml:space="preserve"> </w:t>
      </w:r>
      <w:r>
        <w:rPr>
          <w:sz w:val="24"/>
        </w:rPr>
        <w:t>ассистентов,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Регламентом,</w:t>
      </w:r>
      <w:r>
        <w:rPr>
          <w:spacing w:val="66"/>
          <w:sz w:val="24"/>
        </w:rPr>
        <w:t xml:space="preserve"> </w:t>
      </w:r>
      <w:r>
        <w:rPr>
          <w:sz w:val="24"/>
        </w:rPr>
        <w:t>изложенным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67"/>
          <w:sz w:val="24"/>
        </w:rPr>
        <w:t xml:space="preserve"> </w:t>
      </w:r>
      <w:r>
        <w:rPr>
          <w:sz w:val="24"/>
        </w:rPr>
        <w:t>2 к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Положению. Персональный состав знаменной группы устанавливает директор образовательной организации или его заместитель.</w:t>
      </w:r>
    </w:p>
    <w:p w14:paraId="11000000">
      <w:pPr>
        <w:pStyle w:val="Style_3"/>
        <w:numPr>
          <w:ilvl w:val="1"/>
          <w:numId w:val="1"/>
        </w:numPr>
        <w:tabs>
          <w:tab w:leader="none" w:pos="1179" w:val="left"/>
        </w:tabs>
        <w:spacing w:after="0" w:before="0" w:line="240" w:lineRule="auto"/>
        <w:ind w:firstLine="0" w:left="589" w:right="743"/>
        <w:jc w:val="both"/>
        <w:rPr>
          <w:sz w:val="24"/>
        </w:rPr>
      </w:pPr>
      <w:r>
        <w:rPr>
          <w:sz w:val="24"/>
        </w:rPr>
        <w:t>В дни траура в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верхней части древка Флага крепится черная лента, длина которой равна длине полотнища Флага. Флаг, поднятый на мачте (флагштоке), приспускается до половины высоты мачты (флагштока).</w:t>
      </w:r>
    </w:p>
    <w:p w14:paraId="12000000">
      <w:pPr>
        <w:pStyle w:val="Style_3"/>
        <w:numPr>
          <w:ilvl w:val="1"/>
          <w:numId w:val="1"/>
        </w:numPr>
        <w:tabs>
          <w:tab w:leader="none" w:pos="1186" w:val="left"/>
        </w:tabs>
        <w:spacing w:after="0" w:before="0" w:line="240" w:lineRule="auto"/>
        <w:ind w:firstLine="0" w:left="589" w:right="74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одновременном подъеме (размещении) Флага и флага субъекта РФ, муниципального образования, общественного объединения или организации Флаг располагается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 стороны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 флага, если стоять к ним лицом; при одновременном подъеме (размещении) нечетного числа флагов Флаг располагается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центре, а</w:t>
      </w:r>
      <w:r>
        <w:rPr>
          <w:spacing w:val="-3"/>
          <w:sz w:val="24"/>
        </w:rPr>
        <w:t xml:space="preserve"> </w:t>
      </w:r>
      <w:r>
        <w:rPr>
          <w:sz w:val="24"/>
        </w:rPr>
        <w:t>при подъеме (размещении) четного числа флагов (но более двух) – левее центра.</w:t>
      </w:r>
    </w:p>
    <w:p w14:paraId="13000000">
      <w:pPr>
        <w:pStyle w:val="Style_3"/>
        <w:numPr>
          <w:ilvl w:val="1"/>
          <w:numId w:val="1"/>
        </w:numPr>
        <w:tabs>
          <w:tab w:leader="none" w:pos="1171" w:val="left"/>
        </w:tabs>
        <w:spacing w:after="0" w:before="1" w:line="240" w:lineRule="auto"/>
        <w:ind w:firstLine="0" w:left="589" w:right="74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одновременном подъеме (размещении) Флага и других флагов размер флага субъекта РФ, муниципального образования, общественного объединения либо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 превышать размер Флага, а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высота подъема Флага 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может быть меньше высоты подъема других </w:t>
      </w:r>
      <w:r>
        <w:rPr>
          <w:spacing w:val="-2"/>
          <w:sz w:val="24"/>
        </w:rPr>
        <w:t>флагов.</w:t>
      </w:r>
    </w:p>
    <w:p w14:paraId="14000000">
      <w:pPr>
        <w:pStyle w:val="Style_1"/>
        <w:ind w:firstLine="0" w:left="0"/>
        <w:jc w:val="left"/>
      </w:pPr>
    </w:p>
    <w:p w14:paraId="15000000">
      <w:pPr>
        <w:pStyle w:val="Style_2"/>
        <w:numPr>
          <w:ilvl w:val="0"/>
          <w:numId w:val="2"/>
        </w:numPr>
        <w:tabs>
          <w:tab w:leader="none" w:pos="4674" w:val="left"/>
        </w:tabs>
        <w:spacing w:after="0" w:before="0" w:line="240" w:lineRule="auto"/>
        <w:ind w:hanging="400" w:left="4674" w:right="0"/>
        <w:jc w:val="left"/>
      </w:pPr>
      <w:r>
        <w:t>Использование</w:t>
      </w:r>
      <w:r>
        <w:rPr>
          <w:spacing w:val="-11"/>
        </w:rPr>
        <w:t xml:space="preserve"> </w:t>
      </w:r>
      <w:r>
        <w:rPr>
          <w:spacing w:val="-4"/>
        </w:rPr>
        <w:t>Гимна</w:t>
      </w:r>
    </w:p>
    <w:p w14:paraId="16000000">
      <w:pPr>
        <w:sectPr>
          <w:pgSz w:h="16840" w:orient="portrait" w:w="11910"/>
          <w:pgMar w:bottom="280" w:left="260" w:right="100" w:top="620"/>
        </w:sectPr>
      </w:pPr>
    </w:p>
    <w:p w14:paraId="17000000">
      <w:pPr>
        <w:pStyle w:val="Style_3"/>
        <w:numPr>
          <w:ilvl w:val="1"/>
          <w:numId w:val="3"/>
        </w:numPr>
        <w:tabs>
          <w:tab w:leader="none" w:pos="1121" w:val="left"/>
        </w:tabs>
        <w:spacing w:after="0" w:before="64" w:line="240" w:lineRule="auto"/>
        <w:ind w:firstLine="0" w:left="589" w:right="746"/>
        <w:jc w:val="both"/>
        <w:rPr>
          <w:sz w:val="24"/>
        </w:rPr>
      </w:pPr>
      <w:r>
        <w:rPr>
          <w:sz w:val="24"/>
        </w:rPr>
        <w:t>Текст Гимна размещается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холле и месте, отведенном 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экспозиции, посвященной государственной символике. Место, отведенное для экспозиции, должно быть эстетично оформлено</w:t>
      </w:r>
      <w:r>
        <w:rPr>
          <w:spacing w:val="74"/>
          <w:sz w:val="24"/>
        </w:rPr>
        <w:t xml:space="preserve">  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размещено</w:t>
      </w:r>
      <w:r>
        <w:rPr>
          <w:spacing w:val="77"/>
          <w:sz w:val="24"/>
        </w:rPr>
        <w:t xml:space="preserve">   </w:t>
      </w:r>
      <w:r>
        <w:rPr>
          <w:sz w:val="24"/>
        </w:rPr>
        <w:t>вдали</w:t>
      </w:r>
      <w:r>
        <w:rPr>
          <w:spacing w:val="77"/>
          <w:sz w:val="24"/>
        </w:rPr>
        <w:t xml:space="preserve">   </w:t>
      </w:r>
      <w:r>
        <w:rPr>
          <w:sz w:val="24"/>
        </w:rPr>
        <w:t>от хозяйственно-бытовых</w:t>
      </w:r>
      <w:r>
        <w:rPr>
          <w:spacing w:val="75"/>
          <w:sz w:val="24"/>
        </w:rPr>
        <w:t xml:space="preserve">   </w:t>
      </w:r>
      <w:r>
        <w:rPr>
          <w:sz w:val="24"/>
        </w:rPr>
        <w:t>комнат</w:t>
      </w:r>
      <w:r>
        <w:rPr>
          <w:spacing w:val="78"/>
          <w:sz w:val="24"/>
        </w:rPr>
        <w:t xml:space="preserve">  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гардероба.</w:t>
      </w:r>
    </w:p>
    <w:p w14:paraId="18000000">
      <w:pPr>
        <w:pStyle w:val="Style_3"/>
        <w:numPr>
          <w:ilvl w:val="1"/>
          <w:numId w:val="3"/>
        </w:numPr>
        <w:tabs>
          <w:tab w:leader="none" w:pos="1025" w:val="left"/>
        </w:tabs>
        <w:spacing w:after="0" w:before="1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Официальным является исполнение Гимна в тех случаях, когда он выполняет свою знаковую функцию: обозначает российское государство, государственное присутствие, событие общероссийской важности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значения. Официальными случаями исполнения являются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все</w:t>
      </w:r>
      <w:r>
        <w:rPr>
          <w:spacing w:val="19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20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в Федеральном</w:t>
      </w:r>
      <w:r>
        <w:rPr>
          <w:spacing w:val="20"/>
          <w:sz w:val="24"/>
        </w:rPr>
        <w:t xml:space="preserve"> </w:t>
      </w:r>
      <w:r>
        <w:rPr>
          <w:sz w:val="24"/>
        </w:rPr>
        <w:t>конституционном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25.12.2000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3-</w:t>
      </w:r>
      <w:r>
        <w:rPr>
          <w:spacing w:val="-5"/>
          <w:sz w:val="24"/>
        </w:rPr>
        <w:t>ФКЗ</w:t>
      </w:r>
    </w:p>
    <w:p w14:paraId="19000000">
      <w:pPr>
        <w:pStyle w:val="Style_1"/>
        <w:ind w:right="745"/>
      </w:pPr>
      <w:r>
        <w:t>«О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71"/>
        </w:rPr>
        <w:t xml:space="preserve"> </w:t>
      </w:r>
      <w:r>
        <w:t>гимне</w:t>
      </w:r>
      <w:r>
        <w:rPr>
          <w:spacing w:val="71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Федерации»,</w:t>
      </w:r>
      <w:r>
        <w:rPr>
          <w:spacing w:val="72"/>
        </w:rPr>
        <w:t xml:space="preserve"> </w:t>
      </w:r>
      <w:r>
        <w:t>а также</w:t>
      </w:r>
      <w:r>
        <w:rPr>
          <w:spacing w:val="71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случаи</w:t>
      </w:r>
      <w:r>
        <w:rPr>
          <w:spacing w:val="73"/>
        </w:rPr>
        <w:t xml:space="preserve"> </w:t>
      </w:r>
      <w:r>
        <w:t>исполнения</w:t>
      </w:r>
      <w:r>
        <w:rPr>
          <w:spacing w:val="69"/>
        </w:rPr>
        <w:t xml:space="preserve"> </w:t>
      </w:r>
      <w:r>
        <w:t>Гимна в</w:t>
      </w:r>
      <w:r>
        <w:rPr>
          <w:spacing w:val="-3"/>
        </w:rPr>
        <w:t xml:space="preserve"> </w:t>
      </w:r>
      <w:r>
        <w:t>церемониальных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на официальных</w:t>
      </w:r>
      <w:r>
        <w:rPr>
          <w:spacing w:val="40"/>
        </w:rPr>
        <w:t xml:space="preserve"> </w:t>
      </w:r>
      <w:r>
        <w:t>и массовых</w:t>
      </w:r>
      <w:r>
        <w:rPr>
          <w:spacing w:val="40"/>
        </w:rPr>
        <w:t xml:space="preserve"> </w:t>
      </w:r>
      <w:r>
        <w:t>мероприятиях,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значимых общественных и частных случаях.</w:t>
      </w:r>
    </w:p>
    <w:p w14:paraId="1A000000">
      <w:pPr>
        <w:pStyle w:val="Style_3"/>
        <w:numPr>
          <w:ilvl w:val="1"/>
          <w:numId w:val="3"/>
        </w:numPr>
        <w:tabs>
          <w:tab w:leader="none" w:pos="1009" w:val="left"/>
        </w:tabs>
        <w:spacing w:after="0" w:before="0" w:line="240" w:lineRule="auto"/>
        <w:ind w:hanging="420" w:left="1009" w:right="0"/>
        <w:jc w:val="both"/>
        <w:rPr>
          <w:sz w:val="24"/>
        </w:rPr>
      </w:pPr>
      <w:r>
        <w:rPr>
          <w:sz w:val="24"/>
        </w:rPr>
        <w:t>Гимн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исполняется:</w:t>
      </w:r>
    </w:p>
    <w:p w14:paraId="1B000000">
      <w:pPr>
        <w:pStyle w:val="Style_3"/>
        <w:numPr>
          <w:ilvl w:val="2"/>
          <w:numId w:val="3"/>
        </w:numPr>
        <w:tabs>
          <w:tab w:leader="none" w:pos="1309" w:val="left"/>
        </w:tabs>
        <w:spacing w:after="0" w:before="0" w:line="240" w:lineRule="auto"/>
        <w:ind w:hanging="359" w:left="1309" w:right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4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церемоний;</w:t>
      </w:r>
    </w:p>
    <w:p w14:paraId="1C000000">
      <w:pPr>
        <w:pStyle w:val="Style_3"/>
        <w:numPr>
          <w:ilvl w:val="2"/>
          <w:numId w:val="3"/>
        </w:numPr>
        <w:tabs>
          <w:tab w:leader="none" w:pos="1310" w:val="left"/>
        </w:tabs>
        <w:spacing w:after="0" w:before="0" w:line="240" w:lineRule="auto"/>
        <w:ind w:hanging="360" w:left="1310" w:right="74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 памятных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 решению государственных органов и органов местного самоуправления;</w:t>
      </w:r>
    </w:p>
    <w:p w14:paraId="1D000000">
      <w:pPr>
        <w:pStyle w:val="Style_3"/>
        <w:numPr>
          <w:ilvl w:val="2"/>
          <w:numId w:val="3"/>
        </w:numPr>
        <w:tabs>
          <w:tab w:leader="none" w:pos="1310" w:val="left"/>
        </w:tabs>
        <w:spacing w:after="0" w:before="1" w:line="240" w:lineRule="auto"/>
        <w:ind w:hanging="360" w:left="1310" w:right="75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закрытии</w:t>
      </w:r>
      <w:r>
        <w:rPr>
          <w:spacing w:val="80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80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и муниципальным праздникам;</w:t>
      </w:r>
    </w:p>
    <w:p w14:paraId="1E000000">
      <w:pPr>
        <w:pStyle w:val="Style_3"/>
        <w:numPr>
          <w:ilvl w:val="2"/>
          <w:numId w:val="3"/>
        </w:numPr>
        <w:tabs>
          <w:tab w:leader="none" w:pos="1310" w:val="left"/>
        </w:tabs>
        <w:spacing w:after="0" w:before="0" w:line="240" w:lineRule="auto"/>
        <w:ind w:hanging="360" w:left="1310" w:right="743"/>
        <w:jc w:val="both"/>
        <w:rPr>
          <w:sz w:val="24"/>
        </w:rPr>
      </w:pPr>
      <w:r>
        <w:rPr>
          <w:sz w:val="24"/>
        </w:rPr>
        <w:t>в общеобразовательных организациях независимо от форм собственности – перед первым уроком (занятием) 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начала нового учебного года,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время проводимых торжественных мероприятий, посвященных государственным и муниципальным </w:t>
      </w:r>
      <w:r>
        <w:rPr>
          <w:spacing w:val="-2"/>
          <w:sz w:val="24"/>
        </w:rPr>
        <w:t>праздникам.</w:t>
      </w:r>
    </w:p>
    <w:p w14:paraId="1F000000">
      <w:pPr>
        <w:pStyle w:val="Style_1"/>
      </w:pPr>
      <w:r>
        <w:t>Гимн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исполняться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торжественных</w:t>
      </w:r>
      <w:r>
        <w:rPr>
          <w:spacing w:val="-2"/>
        </w:rPr>
        <w:t xml:space="preserve"> мероприятий.</w:t>
      </w:r>
    </w:p>
    <w:p w14:paraId="20000000">
      <w:pPr>
        <w:pStyle w:val="Style_3"/>
        <w:numPr>
          <w:ilvl w:val="1"/>
          <w:numId w:val="3"/>
        </w:numPr>
        <w:tabs>
          <w:tab w:leader="none" w:pos="1114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 исполнении Гимна присутствующие выслушивают его стоя. Данное требование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лиц,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40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затруднения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 стоянии</w:t>
      </w:r>
      <w:r>
        <w:rPr>
          <w:spacing w:val="40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40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0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40"/>
          <w:sz w:val="24"/>
        </w:rPr>
        <w:t xml:space="preserve"> </w:t>
      </w:r>
      <w:r>
        <w:rPr>
          <w:sz w:val="24"/>
        </w:rPr>
        <w:t>больных и травмированных, а также детей раннего возраста.</w:t>
      </w:r>
    </w:p>
    <w:p w14:paraId="21000000">
      <w:pPr>
        <w:pStyle w:val="Style_3"/>
        <w:numPr>
          <w:ilvl w:val="1"/>
          <w:numId w:val="3"/>
        </w:numPr>
        <w:tabs>
          <w:tab w:leader="none" w:pos="1073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 исполнении Гимна мужчины должны находиться без головных уборов. Данное требование имеет ряд исключений, основанных на традициях и правах личных свобод граждан. Например, не</w:t>
      </w:r>
      <w:r>
        <w:rPr>
          <w:spacing w:val="-1"/>
          <w:sz w:val="24"/>
        </w:rPr>
        <w:t xml:space="preserve"> </w:t>
      </w:r>
      <w:r>
        <w:rPr>
          <w:sz w:val="24"/>
        </w:rPr>
        <w:t>обнажают головы те, кто имеет специальный головной убор, ношение которого вызвано состоянием здоровья.</w:t>
      </w:r>
    </w:p>
    <w:p w14:paraId="22000000">
      <w:pPr>
        <w:pStyle w:val="Style_1"/>
        <w:spacing w:before="1"/>
        <w:ind w:right="746"/>
      </w:pPr>
      <w:r>
        <w:t>Допускается не</w:t>
      </w:r>
      <w:r>
        <w:rPr>
          <w:spacing w:val="-2"/>
        </w:rPr>
        <w:t xml:space="preserve"> </w:t>
      </w:r>
      <w:r>
        <w:t>обнажать голову при</w:t>
      </w:r>
      <w:r>
        <w:rPr>
          <w:spacing w:val="-2"/>
        </w:rPr>
        <w:t xml:space="preserve"> </w:t>
      </w:r>
      <w:r>
        <w:t>нахождении в</w:t>
      </w:r>
      <w:r>
        <w:rPr>
          <w:spacing w:val="-4"/>
        </w:rPr>
        <w:t xml:space="preserve"> </w:t>
      </w:r>
      <w:r>
        <w:t>исключительно неблагоприятных погодных, природных или</w:t>
      </w:r>
      <w:r>
        <w:rPr>
          <w:spacing w:val="-2"/>
        </w:rPr>
        <w:t xml:space="preserve"> </w:t>
      </w:r>
      <w:r>
        <w:t>технических условиях, когда обнажение головы на время исполнения гимна действительно способно привести к потере здоровья, травме или создать угрозу жизни.</w:t>
      </w:r>
    </w:p>
    <w:p w14:paraId="23000000">
      <w:pPr>
        <w:pStyle w:val="Style_1"/>
        <w:ind w:right="750"/>
      </w:pPr>
      <w:r>
        <w:t>Допускается не</w:t>
      </w:r>
      <w:r>
        <w:rPr>
          <w:spacing w:val="-2"/>
        </w:rPr>
        <w:t xml:space="preserve"> </w:t>
      </w:r>
      <w:r>
        <w:t>обнажать голову лицам, религиозные убеждения которых рассматривают обнажение головы как акт неуважения и (или) унижения.</w:t>
      </w:r>
    </w:p>
    <w:p w14:paraId="24000000">
      <w:pPr>
        <w:pStyle w:val="Style_3"/>
        <w:numPr>
          <w:ilvl w:val="1"/>
          <w:numId w:val="3"/>
        </w:numPr>
        <w:tabs>
          <w:tab w:leader="none" w:pos="1042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9"/>
          <w:sz w:val="24"/>
        </w:rPr>
        <w:t xml:space="preserve"> </w:t>
      </w:r>
      <w:r>
        <w:rPr>
          <w:sz w:val="24"/>
        </w:rPr>
        <w:t>Гимна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9"/>
          <w:sz w:val="24"/>
        </w:rPr>
        <w:t xml:space="preserve"> </w:t>
      </w:r>
      <w:r>
        <w:rPr>
          <w:sz w:val="24"/>
        </w:rPr>
        <w:t>тишину</w:t>
      </w:r>
      <w:r>
        <w:rPr>
          <w:spacing w:val="28"/>
          <w:sz w:val="24"/>
        </w:rPr>
        <w:t xml:space="preserve"> </w:t>
      </w:r>
      <w:r>
        <w:rPr>
          <w:sz w:val="24"/>
        </w:rPr>
        <w:t>и сократить</w:t>
      </w:r>
      <w:r>
        <w:rPr>
          <w:spacing w:val="29"/>
          <w:sz w:val="24"/>
        </w:rPr>
        <w:t xml:space="preserve"> </w:t>
      </w:r>
      <w:r>
        <w:rPr>
          <w:sz w:val="24"/>
        </w:rPr>
        <w:t>передвижения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перемещения до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 возможного минимума. Гимн следует выслушать молча либо подпевая исполнению.</w:t>
      </w:r>
    </w:p>
    <w:p w14:paraId="25000000">
      <w:pPr>
        <w:pStyle w:val="Style_3"/>
        <w:numPr>
          <w:ilvl w:val="1"/>
          <w:numId w:val="3"/>
        </w:numPr>
        <w:tabs>
          <w:tab w:leader="none" w:pos="1027" w:val="left"/>
        </w:tabs>
        <w:spacing w:after="0" w:before="0" w:line="240" w:lineRule="auto"/>
        <w:ind w:firstLine="0" w:left="589" w:right="747"/>
        <w:jc w:val="both"/>
        <w:rPr>
          <w:sz w:val="24"/>
        </w:rPr>
      </w:pPr>
      <w:r>
        <w:rPr>
          <w:sz w:val="24"/>
        </w:rPr>
        <w:t>Если исполнение Гимна сопровождается поднятием Флага, присутствующие поворачиваются лицом к поднимаемому Флагу.</w:t>
      </w:r>
    </w:p>
    <w:p w14:paraId="26000000">
      <w:pPr>
        <w:pStyle w:val="Style_3"/>
        <w:numPr>
          <w:ilvl w:val="1"/>
          <w:numId w:val="3"/>
        </w:numPr>
        <w:tabs>
          <w:tab w:leader="none" w:pos="1169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При исполнении</w:t>
      </w:r>
      <w:r>
        <w:rPr>
          <w:spacing w:val="40"/>
          <w:sz w:val="24"/>
        </w:rPr>
        <w:t xml:space="preserve">  </w:t>
      </w:r>
      <w:r>
        <w:rPr>
          <w:sz w:val="24"/>
        </w:rPr>
        <w:t>Гимна</w:t>
      </w:r>
      <w:r>
        <w:rPr>
          <w:spacing w:val="40"/>
          <w:sz w:val="24"/>
        </w:rPr>
        <w:t xml:space="preserve">  </w:t>
      </w:r>
      <w:r>
        <w:rPr>
          <w:sz w:val="24"/>
        </w:rPr>
        <w:t>со словами</w:t>
      </w:r>
      <w:r>
        <w:rPr>
          <w:spacing w:val="40"/>
          <w:sz w:val="24"/>
        </w:rPr>
        <w:t xml:space="preserve">  </w:t>
      </w:r>
      <w:r>
        <w:rPr>
          <w:sz w:val="24"/>
        </w:rPr>
        <w:t>исполняется</w:t>
      </w:r>
      <w:r>
        <w:rPr>
          <w:spacing w:val="40"/>
          <w:sz w:val="24"/>
        </w:rPr>
        <w:t xml:space="preserve">  </w:t>
      </w:r>
      <w:r>
        <w:rPr>
          <w:sz w:val="24"/>
        </w:rPr>
        <w:t>весь</w:t>
      </w:r>
      <w:r>
        <w:rPr>
          <w:spacing w:val="40"/>
          <w:sz w:val="24"/>
        </w:rPr>
        <w:t xml:space="preserve">  </w:t>
      </w:r>
      <w:r>
        <w:rPr>
          <w:sz w:val="24"/>
        </w:rPr>
        <w:t>Гимн</w:t>
      </w:r>
      <w:r>
        <w:rPr>
          <w:spacing w:val="40"/>
          <w:sz w:val="24"/>
        </w:rPr>
        <w:t xml:space="preserve">  </w:t>
      </w:r>
      <w:r>
        <w:rPr>
          <w:sz w:val="24"/>
        </w:rPr>
        <w:t>целиком</w:t>
      </w:r>
      <w:r>
        <w:rPr>
          <w:spacing w:val="40"/>
          <w:sz w:val="24"/>
        </w:rPr>
        <w:t xml:space="preserve">  </w:t>
      </w:r>
      <w:r>
        <w:rPr>
          <w:sz w:val="24"/>
        </w:rPr>
        <w:t>(три</w:t>
      </w:r>
      <w:r>
        <w:rPr>
          <w:spacing w:val="40"/>
          <w:sz w:val="24"/>
        </w:rPr>
        <w:t xml:space="preserve">  </w:t>
      </w:r>
      <w:r>
        <w:rPr>
          <w:sz w:val="24"/>
        </w:rPr>
        <w:t>куплета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повторением припева после каждого куплета). В исключительных случаях возможно исполнение гимна со словами в составе только первого куплета и припева.</w:t>
      </w:r>
    </w:p>
    <w:p w14:paraId="27000000">
      <w:pPr>
        <w:pStyle w:val="Style_3"/>
        <w:numPr>
          <w:ilvl w:val="1"/>
          <w:numId w:val="3"/>
        </w:numPr>
        <w:tabs>
          <w:tab w:leader="none" w:pos="1087" w:val="left"/>
        </w:tabs>
        <w:spacing w:after="0" w:before="0" w:line="240" w:lineRule="auto"/>
        <w:ind w:firstLine="0" w:left="589" w:right="74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 Гимна без слов исполняются вступление, куплет и припев. Троекратное исполнение куплетов и припевов при исполнении Гимна без слов не применяется.</w:t>
      </w:r>
    </w:p>
    <w:p w14:paraId="28000000">
      <w:pPr>
        <w:pStyle w:val="Style_2"/>
        <w:numPr>
          <w:ilvl w:val="0"/>
          <w:numId w:val="2"/>
        </w:numPr>
        <w:tabs>
          <w:tab w:leader="none" w:pos="4707" w:val="left"/>
        </w:tabs>
        <w:spacing w:after="0" w:before="0" w:line="240" w:lineRule="auto"/>
        <w:ind w:hanging="385" w:left="4707" w:right="0"/>
        <w:jc w:val="both"/>
      </w:pPr>
      <w:r>
        <w:t>Использование</w:t>
      </w:r>
      <w:r>
        <w:rPr>
          <w:spacing w:val="-11"/>
        </w:rPr>
        <w:t xml:space="preserve"> </w:t>
      </w:r>
      <w:r>
        <w:rPr>
          <w:spacing w:val="-4"/>
        </w:rPr>
        <w:t>Герба</w:t>
      </w:r>
    </w:p>
    <w:p w14:paraId="29000000">
      <w:pPr>
        <w:pStyle w:val="Style_1"/>
        <w:ind w:firstLine="0" w:left="0"/>
        <w:jc w:val="left"/>
        <w:rPr>
          <w:b w:val="1"/>
        </w:rPr>
      </w:pPr>
    </w:p>
    <w:p w14:paraId="2A000000">
      <w:pPr>
        <w:pStyle w:val="Style_3"/>
        <w:numPr>
          <w:ilvl w:val="1"/>
          <w:numId w:val="4"/>
        </w:numPr>
        <w:tabs>
          <w:tab w:leader="none" w:pos="1049" w:val="left"/>
        </w:tabs>
        <w:spacing w:after="0" w:before="1" w:line="240" w:lineRule="auto"/>
        <w:ind w:firstLine="0" w:left="589" w:right="747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Герба,</w:t>
      </w:r>
      <w:r>
        <w:rPr>
          <w:spacing w:val="37"/>
          <w:sz w:val="24"/>
        </w:rPr>
        <w:t xml:space="preserve"> </w:t>
      </w:r>
      <w:r>
        <w:rPr>
          <w:sz w:val="24"/>
        </w:rPr>
        <w:t>в 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8"/>
          <w:sz w:val="24"/>
        </w:rPr>
        <w:t xml:space="preserve"> </w:t>
      </w:r>
      <w:r>
        <w:rPr>
          <w:sz w:val="24"/>
        </w:rPr>
        <w:t>такое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 не является надругательством над Гербом.</w:t>
      </w:r>
    </w:p>
    <w:p w14:paraId="2B000000">
      <w:pPr>
        <w:pStyle w:val="Style_3"/>
        <w:numPr>
          <w:ilvl w:val="1"/>
          <w:numId w:val="4"/>
        </w:numPr>
        <w:tabs>
          <w:tab w:leader="none" w:pos="1212" w:val="left"/>
        </w:tabs>
        <w:spacing w:after="0" w:before="0" w:line="240" w:lineRule="auto"/>
        <w:ind w:firstLine="0" w:left="589" w:right="744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9"/>
          <w:sz w:val="24"/>
        </w:rPr>
        <w:t xml:space="preserve"> 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 </w:t>
      </w:r>
      <w:r>
        <w:rPr>
          <w:sz w:val="24"/>
        </w:rPr>
        <w:t>Герб</w:t>
      </w:r>
      <w:r>
        <w:rPr>
          <w:spacing w:val="69"/>
          <w:sz w:val="24"/>
        </w:rPr>
        <w:t xml:space="preserve">  </w:t>
      </w:r>
      <w:r>
        <w:rPr>
          <w:sz w:val="24"/>
        </w:rPr>
        <w:t>размещается</w:t>
      </w:r>
      <w:r>
        <w:rPr>
          <w:spacing w:val="71"/>
          <w:sz w:val="24"/>
        </w:rPr>
        <w:t xml:space="preserve"> 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холле</w:t>
      </w:r>
      <w:r>
        <w:rPr>
          <w:spacing w:val="69"/>
          <w:sz w:val="24"/>
        </w:rPr>
        <w:t xml:space="preserve">  </w:t>
      </w:r>
      <w:r>
        <w:rPr>
          <w:sz w:val="24"/>
        </w:rPr>
        <w:t>и</w:t>
      </w:r>
      <w:r>
        <w:rPr>
          <w:spacing w:val="69"/>
          <w:sz w:val="24"/>
        </w:rPr>
        <w:t xml:space="preserve">  </w:t>
      </w:r>
      <w:r>
        <w:rPr>
          <w:sz w:val="24"/>
        </w:rPr>
        <w:t>месте,</w:t>
      </w:r>
      <w:r>
        <w:rPr>
          <w:spacing w:val="69"/>
          <w:sz w:val="24"/>
        </w:rPr>
        <w:t xml:space="preserve">  </w:t>
      </w:r>
      <w:r>
        <w:rPr>
          <w:sz w:val="24"/>
        </w:rPr>
        <w:t>отведенном 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экспозиции, посвященной государственной символике. Место, отведенное от экспозиции, должно</w:t>
      </w:r>
      <w:r>
        <w:rPr>
          <w:spacing w:val="40"/>
          <w:sz w:val="24"/>
        </w:rPr>
        <w:t xml:space="preserve">  </w:t>
      </w:r>
      <w:r>
        <w:rPr>
          <w:sz w:val="24"/>
        </w:rPr>
        <w:t>быть</w:t>
      </w:r>
      <w:r>
        <w:rPr>
          <w:spacing w:val="40"/>
          <w:sz w:val="24"/>
        </w:rPr>
        <w:t xml:space="preserve">  </w:t>
      </w:r>
      <w:r>
        <w:rPr>
          <w:sz w:val="24"/>
        </w:rPr>
        <w:t>эстетично</w:t>
      </w:r>
      <w:r>
        <w:rPr>
          <w:spacing w:val="40"/>
          <w:sz w:val="24"/>
        </w:rPr>
        <w:t xml:space="preserve">  </w:t>
      </w:r>
      <w:r>
        <w:rPr>
          <w:sz w:val="24"/>
        </w:rPr>
        <w:t>оформлено</w:t>
      </w:r>
      <w:r>
        <w:rPr>
          <w:spacing w:val="40"/>
          <w:sz w:val="24"/>
        </w:rPr>
        <w:t xml:space="preserve">  </w:t>
      </w:r>
      <w:r>
        <w:rPr>
          <w:sz w:val="24"/>
        </w:rPr>
        <w:t>и размещено</w:t>
      </w:r>
      <w:r>
        <w:rPr>
          <w:spacing w:val="40"/>
          <w:sz w:val="24"/>
        </w:rPr>
        <w:t xml:space="preserve">  </w:t>
      </w:r>
      <w:r>
        <w:rPr>
          <w:sz w:val="24"/>
        </w:rPr>
        <w:t>вдали</w:t>
      </w:r>
      <w:r>
        <w:rPr>
          <w:spacing w:val="40"/>
          <w:sz w:val="24"/>
        </w:rPr>
        <w:t xml:space="preserve"> 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хозяйственно-бытовых</w:t>
      </w:r>
      <w:r>
        <w:rPr>
          <w:spacing w:val="40"/>
          <w:sz w:val="24"/>
        </w:rPr>
        <w:t xml:space="preserve">  </w:t>
      </w:r>
      <w:r>
        <w:rPr>
          <w:sz w:val="24"/>
        </w:rPr>
        <w:t>комнат и гардероба.</w:t>
      </w:r>
    </w:p>
    <w:p w14:paraId="2C000000">
      <w:pPr>
        <w:sectPr>
          <w:pgSz w:h="16840" w:orient="portrait" w:w="11910"/>
          <w:pgMar w:bottom="280" w:left="260" w:right="100" w:top="900"/>
        </w:sectPr>
      </w:pPr>
    </w:p>
    <w:p w14:paraId="2D000000">
      <w:pPr>
        <w:pStyle w:val="Style_3"/>
        <w:numPr>
          <w:ilvl w:val="1"/>
          <w:numId w:val="4"/>
        </w:numPr>
        <w:tabs>
          <w:tab w:leader="none" w:pos="1131" w:val="left"/>
        </w:tabs>
        <w:spacing w:after="0" w:before="68" w:line="240" w:lineRule="auto"/>
        <w:ind w:firstLine="0" w:left="589" w:right="74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одновременном размещении Герба и герба (геральдического знака) субъекта РФ, муниципального образования, общественного объединения либо организации Герб располагается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40"/>
          <w:sz w:val="24"/>
        </w:rPr>
        <w:t xml:space="preserve">  </w:t>
      </w:r>
      <w:r>
        <w:rPr>
          <w:sz w:val="24"/>
        </w:rPr>
        <w:t>стороны</w:t>
      </w:r>
      <w:r>
        <w:rPr>
          <w:spacing w:val="40"/>
          <w:sz w:val="24"/>
        </w:rPr>
        <w:t xml:space="preserve"> 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0"/>
          <w:sz w:val="24"/>
        </w:rPr>
        <w:t xml:space="preserve">  </w:t>
      </w:r>
      <w:r>
        <w:rPr>
          <w:sz w:val="24"/>
        </w:rPr>
        <w:t>герба</w:t>
      </w:r>
      <w:r>
        <w:rPr>
          <w:spacing w:val="40"/>
          <w:sz w:val="24"/>
        </w:rPr>
        <w:t xml:space="preserve">  </w:t>
      </w:r>
      <w:r>
        <w:rPr>
          <w:sz w:val="24"/>
        </w:rPr>
        <w:t>(геральдического</w:t>
      </w:r>
      <w:r>
        <w:rPr>
          <w:spacing w:val="40"/>
          <w:sz w:val="24"/>
        </w:rPr>
        <w:t xml:space="preserve">  </w:t>
      </w:r>
      <w:r>
        <w:rPr>
          <w:sz w:val="24"/>
        </w:rPr>
        <w:t>знака),</w:t>
      </w:r>
      <w:r>
        <w:rPr>
          <w:spacing w:val="40"/>
          <w:sz w:val="24"/>
        </w:rPr>
        <w:t xml:space="preserve">  </w:t>
      </w:r>
      <w:r>
        <w:rPr>
          <w:sz w:val="24"/>
        </w:rPr>
        <w:t>если</w:t>
      </w:r>
      <w:r>
        <w:rPr>
          <w:spacing w:val="40"/>
          <w:sz w:val="24"/>
        </w:rPr>
        <w:t xml:space="preserve">  </w:t>
      </w:r>
      <w:r>
        <w:rPr>
          <w:sz w:val="24"/>
        </w:rPr>
        <w:t>стоять</w:t>
      </w:r>
      <w:r>
        <w:rPr>
          <w:spacing w:val="40"/>
          <w:sz w:val="24"/>
        </w:rPr>
        <w:t xml:space="preserve">  </w:t>
      </w:r>
      <w:r>
        <w:rPr>
          <w:sz w:val="24"/>
        </w:rPr>
        <w:t>к ним</w:t>
      </w:r>
      <w:r>
        <w:rPr>
          <w:spacing w:val="40"/>
          <w:sz w:val="24"/>
        </w:rPr>
        <w:t xml:space="preserve">  </w:t>
      </w:r>
      <w:r>
        <w:rPr>
          <w:sz w:val="24"/>
        </w:rPr>
        <w:t>лицом; при одновременном размещении нечетного числа гербов (геральдических знаков) Герб располагается в центре, а при размещении четного числа гербов (но более двух) – левее центра.</w:t>
      </w:r>
    </w:p>
    <w:p w14:paraId="2E000000">
      <w:pPr>
        <w:pStyle w:val="Style_3"/>
        <w:numPr>
          <w:ilvl w:val="1"/>
          <w:numId w:val="4"/>
        </w:numPr>
        <w:tabs>
          <w:tab w:leader="none" w:pos="1018" w:val="left"/>
        </w:tabs>
        <w:spacing w:after="0" w:before="1" w:line="240" w:lineRule="auto"/>
        <w:ind w:firstLine="0" w:left="589" w:right="74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одновременном размещении Герба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гербов (геральдических знаков) размер герба (геральдического знака) субъекта РФ, муниципального образования, общественного объединения либо организации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превышать размер Герба, при этом Герб 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быть размещен</w:t>
      </w:r>
      <w:r>
        <w:rPr>
          <w:spacing w:val="40"/>
          <w:sz w:val="24"/>
        </w:rPr>
        <w:t xml:space="preserve"> </w:t>
      </w:r>
      <w:r>
        <w:rPr>
          <w:sz w:val="24"/>
        </w:rPr>
        <w:t>ниже других гербов (геральдических знаков).</w:t>
      </w:r>
    </w:p>
    <w:p w14:paraId="2F000000">
      <w:pPr>
        <w:pStyle w:val="Style_1"/>
        <w:ind w:firstLine="0" w:left="0"/>
        <w:jc w:val="left"/>
      </w:pPr>
    </w:p>
    <w:p w14:paraId="30000000">
      <w:pPr>
        <w:pStyle w:val="Style_2"/>
        <w:numPr>
          <w:ilvl w:val="0"/>
          <w:numId w:val="2"/>
        </w:numPr>
        <w:tabs>
          <w:tab w:leader="none" w:pos="4261" w:val="left"/>
        </w:tabs>
        <w:spacing w:after="0" w:before="0" w:line="240" w:lineRule="auto"/>
        <w:ind w:hanging="292" w:left="4261" w:right="0"/>
        <w:jc w:val="left"/>
      </w:pPr>
      <w:r>
        <w:t>Заключительные</w:t>
      </w:r>
      <w:r>
        <w:rPr>
          <w:spacing w:val="-11"/>
        </w:rPr>
        <w:t xml:space="preserve"> </w:t>
      </w:r>
      <w:r>
        <w:rPr>
          <w:spacing w:val="-2"/>
        </w:rPr>
        <w:t>положения</w:t>
      </w:r>
    </w:p>
    <w:p w14:paraId="31000000">
      <w:pPr>
        <w:pStyle w:val="Style_1"/>
        <w:ind w:firstLine="0" w:left="0"/>
        <w:jc w:val="left"/>
        <w:rPr>
          <w:b w:val="1"/>
        </w:rPr>
      </w:pPr>
    </w:p>
    <w:p w14:paraId="32000000">
      <w:pPr>
        <w:pStyle w:val="Style_3"/>
        <w:numPr>
          <w:ilvl w:val="1"/>
          <w:numId w:val="5"/>
        </w:numPr>
        <w:tabs>
          <w:tab w:leader="none" w:pos="1208" w:val="left"/>
        </w:tabs>
        <w:spacing w:after="0" w:before="0" w:line="240" w:lineRule="auto"/>
        <w:ind w:firstLine="0" w:left="589" w:right="744"/>
        <w:jc w:val="both"/>
        <w:rPr>
          <w:sz w:val="24"/>
        </w:rPr>
      </w:pPr>
      <w:r>
        <w:rPr>
          <w:sz w:val="24"/>
        </w:rPr>
        <w:t>Настоящее Положение является локальным нормативным актом образовательной организации, принимается на педагогическом совете школы и утверждается (либо вводится в действие) приказом директора школы.</w:t>
      </w:r>
    </w:p>
    <w:p w14:paraId="33000000">
      <w:pPr>
        <w:pStyle w:val="Style_3"/>
        <w:numPr>
          <w:ilvl w:val="1"/>
          <w:numId w:val="5"/>
        </w:numPr>
        <w:tabs>
          <w:tab w:leader="none" w:pos="1023" w:val="left"/>
        </w:tabs>
        <w:spacing w:after="0" w:before="1" w:line="240" w:lineRule="auto"/>
        <w:ind w:firstLine="0" w:left="589" w:right="747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34000000">
      <w:pPr>
        <w:pStyle w:val="Style_3"/>
        <w:numPr>
          <w:ilvl w:val="1"/>
          <w:numId w:val="5"/>
        </w:numPr>
        <w:tabs>
          <w:tab w:leader="none" w:pos="1133" w:val="left"/>
        </w:tabs>
        <w:spacing w:after="0" w:before="0" w:line="240" w:lineRule="auto"/>
        <w:ind w:firstLine="0" w:left="589" w:right="743"/>
        <w:jc w:val="both"/>
        <w:rPr>
          <w:sz w:val="24"/>
        </w:rPr>
      </w:pPr>
      <w:r>
        <w:rPr>
          <w:sz w:val="24"/>
        </w:rPr>
        <w:t>Положение принимается на неопределенный срок.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5000000">
      <w:pPr>
        <w:sectPr>
          <w:pgSz w:h="16840" w:orient="portrait" w:w="11910"/>
          <w:pgMar w:bottom="280" w:left="260" w:right="100" w:top="620"/>
        </w:sectPr>
      </w:pPr>
    </w:p>
    <w:sectPr>
      <w:pgSz w:h="11910" w:orient="landscape" w:w="16840"/>
      <w:pgMar w:bottom="280" w:left="460" w:right="420" w:top="6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240" w:left="829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240" w:left="1892"/>
      </w:pPr>
    </w:lvl>
    <w:lvl w:ilvl="2">
      <w:start w:val="0"/>
      <w:numFmt w:val="bullet"/>
      <w:lvlText w:val="•"/>
      <w:lvlJc w:val="left"/>
      <w:pPr>
        <w:ind w:hanging="240" w:left="2965"/>
      </w:pPr>
    </w:lvl>
    <w:lvl w:ilvl="3">
      <w:start w:val="0"/>
      <w:numFmt w:val="bullet"/>
      <w:lvlText w:val="•"/>
      <w:lvlJc w:val="left"/>
      <w:pPr>
        <w:ind w:hanging="240" w:left="4037"/>
      </w:pPr>
    </w:lvl>
    <w:lvl w:ilvl="4">
      <w:start w:val="0"/>
      <w:numFmt w:val="bullet"/>
      <w:lvlText w:val="•"/>
      <w:lvlJc w:val="left"/>
      <w:pPr>
        <w:ind w:hanging="240" w:left="5110"/>
      </w:pPr>
    </w:lvl>
    <w:lvl w:ilvl="5">
      <w:start w:val="0"/>
      <w:numFmt w:val="bullet"/>
      <w:lvlText w:val="•"/>
      <w:lvlJc w:val="left"/>
      <w:pPr>
        <w:ind w:hanging="240" w:left="6183"/>
      </w:pPr>
    </w:lvl>
    <w:lvl w:ilvl="6">
      <w:start w:val="0"/>
      <w:numFmt w:val="bullet"/>
      <w:lvlText w:val="•"/>
      <w:lvlJc w:val="left"/>
      <w:pPr>
        <w:ind w:hanging="240" w:left="7255"/>
      </w:pPr>
    </w:lvl>
    <w:lvl w:ilvl="7">
      <w:start w:val="0"/>
      <w:numFmt w:val="bullet"/>
      <w:lvlText w:val="•"/>
      <w:lvlJc w:val="left"/>
      <w:pPr>
        <w:ind w:hanging="240" w:left="8328"/>
      </w:pPr>
    </w:lvl>
    <w:lvl w:ilvl="8">
      <w:start w:val="0"/>
      <w:numFmt w:val="bullet"/>
      <w:lvlText w:val="•"/>
      <w:lvlJc w:val="left"/>
      <w:pPr>
        <w:ind w:hanging="240" w:left="9401"/>
      </w:pPr>
    </w:lvl>
  </w:abstractNum>
  <w:abstractNum w:abstractNumId="1">
    <w:lvl w:ilvl="0">
      <w:start w:val="1"/>
      <w:numFmt w:val="decimal"/>
      <w:lvlText w:val="%1)"/>
      <w:lvlJc w:val="left"/>
      <w:pPr>
        <w:ind w:hanging="260" w:left="519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260" w:left="1258"/>
      </w:pPr>
    </w:lvl>
    <w:lvl w:ilvl="2">
      <w:start w:val="0"/>
      <w:numFmt w:val="bullet"/>
      <w:lvlText w:val="•"/>
      <w:lvlJc w:val="left"/>
      <w:pPr>
        <w:ind w:hanging="260" w:left="1997"/>
      </w:pPr>
    </w:lvl>
    <w:lvl w:ilvl="3">
      <w:start w:val="0"/>
      <w:numFmt w:val="bullet"/>
      <w:lvlText w:val="•"/>
      <w:lvlJc w:val="left"/>
      <w:pPr>
        <w:ind w:hanging="260" w:left="2735"/>
      </w:pPr>
    </w:lvl>
    <w:lvl w:ilvl="4">
      <w:start w:val="0"/>
      <w:numFmt w:val="bullet"/>
      <w:lvlText w:val="•"/>
      <w:lvlJc w:val="left"/>
      <w:pPr>
        <w:ind w:hanging="260" w:left="3474"/>
      </w:pPr>
    </w:lvl>
    <w:lvl w:ilvl="5">
      <w:start w:val="0"/>
      <w:numFmt w:val="bullet"/>
      <w:lvlText w:val="•"/>
      <w:lvlJc w:val="left"/>
      <w:pPr>
        <w:ind w:hanging="260" w:left="4212"/>
      </w:pPr>
    </w:lvl>
    <w:lvl w:ilvl="6">
      <w:start w:val="0"/>
      <w:numFmt w:val="bullet"/>
      <w:lvlText w:val="•"/>
      <w:lvlJc w:val="left"/>
      <w:pPr>
        <w:ind w:hanging="260" w:left="4951"/>
      </w:pPr>
    </w:lvl>
    <w:lvl w:ilvl="7">
      <w:start w:val="0"/>
      <w:numFmt w:val="bullet"/>
      <w:lvlText w:val="•"/>
      <w:lvlJc w:val="left"/>
      <w:pPr>
        <w:ind w:hanging="260" w:left="5689"/>
      </w:pPr>
    </w:lvl>
    <w:lvl w:ilvl="8">
      <w:start w:val="0"/>
      <w:numFmt w:val="bullet"/>
      <w:lvlText w:val="•"/>
      <w:lvlJc w:val="left"/>
      <w:pPr>
        <w:ind w:hanging="260" w:left="6428"/>
      </w:pPr>
    </w:lvl>
  </w:abstractNum>
  <w:abstractNum w:abstractNumId="2">
    <w:lvl w:ilvl="0">
      <w:start w:val="1"/>
      <w:numFmt w:val="decimal"/>
      <w:lvlText w:val="%1."/>
      <w:lvlJc w:val="left"/>
      <w:pPr>
        <w:ind w:hanging="370" w:left="589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0"/>
      <w:numFmt w:val="bullet"/>
      <w:lvlText w:val="•"/>
      <w:lvlJc w:val="left"/>
      <w:pPr>
        <w:ind w:hanging="370" w:left="1676"/>
      </w:pPr>
    </w:lvl>
    <w:lvl w:ilvl="2">
      <w:start w:val="0"/>
      <w:numFmt w:val="bullet"/>
      <w:lvlText w:val="•"/>
      <w:lvlJc w:val="left"/>
      <w:pPr>
        <w:ind w:hanging="370" w:left="2773"/>
      </w:pPr>
    </w:lvl>
    <w:lvl w:ilvl="3">
      <w:start w:val="0"/>
      <w:numFmt w:val="bullet"/>
      <w:lvlText w:val="•"/>
      <w:lvlJc w:val="left"/>
      <w:pPr>
        <w:ind w:hanging="370" w:left="3869"/>
      </w:pPr>
    </w:lvl>
    <w:lvl w:ilvl="4">
      <w:start w:val="0"/>
      <w:numFmt w:val="bullet"/>
      <w:lvlText w:val="•"/>
      <w:lvlJc w:val="left"/>
      <w:pPr>
        <w:ind w:hanging="370" w:left="4966"/>
      </w:pPr>
    </w:lvl>
    <w:lvl w:ilvl="5">
      <w:start w:val="0"/>
      <w:numFmt w:val="bullet"/>
      <w:lvlText w:val="•"/>
      <w:lvlJc w:val="left"/>
      <w:pPr>
        <w:ind w:hanging="370" w:left="6063"/>
      </w:pPr>
    </w:lvl>
    <w:lvl w:ilvl="6">
      <w:start w:val="0"/>
      <w:numFmt w:val="bullet"/>
      <w:lvlText w:val="•"/>
      <w:lvlJc w:val="left"/>
      <w:pPr>
        <w:ind w:hanging="370" w:left="7159"/>
      </w:pPr>
    </w:lvl>
    <w:lvl w:ilvl="7">
      <w:start w:val="0"/>
      <w:numFmt w:val="bullet"/>
      <w:lvlText w:val="•"/>
      <w:lvlJc w:val="left"/>
      <w:pPr>
        <w:ind w:hanging="370" w:left="8256"/>
      </w:pPr>
    </w:lvl>
    <w:lvl w:ilvl="8">
      <w:start w:val="0"/>
      <w:numFmt w:val="bullet"/>
      <w:lvlText w:val="•"/>
      <w:lvlJc w:val="left"/>
      <w:pPr>
        <w:ind w:hanging="370" w:left="9353"/>
      </w:pPr>
    </w:lvl>
  </w:abstractNum>
  <w:abstractNum w:abstractNumId="3">
    <w:lvl w:ilvl="0">
      <w:start w:val="5"/>
      <w:numFmt w:val="decimal"/>
      <w:lvlText w:val="%1"/>
      <w:lvlJc w:val="left"/>
      <w:pPr>
        <w:ind w:hanging="620" w:left="589"/>
        <w:jc w:val="left"/>
      </w:pPr>
    </w:lvl>
    <w:lvl w:ilvl="1">
      <w:start w:val="1"/>
      <w:numFmt w:val="decimal"/>
      <w:lvlText w:val="%1.%2."/>
      <w:lvlJc w:val="left"/>
      <w:pPr>
        <w:ind w:hanging="620" w:left="589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2">
      <w:start w:val="0"/>
      <w:numFmt w:val="bullet"/>
      <w:lvlText w:val="•"/>
      <w:lvlJc w:val="left"/>
      <w:pPr>
        <w:ind w:hanging="620" w:left="2773"/>
      </w:pPr>
    </w:lvl>
    <w:lvl w:ilvl="3">
      <w:start w:val="0"/>
      <w:numFmt w:val="bullet"/>
      <w:lvlText w:val="•"/>
      <w:lvlJc w:val="left"/>
      <w:pPr>
        <w:ind w:hanging="620" w:left="3869"/>
      </w:pPr>
    </w:lvl>
    <w:lvl w:ilvl="4">
      <w:start w:val="0"/>
      <w:numFmt w:val="bullet"/>
      <w:lvlText w:val="•"/>
      <w:lvlJc w:val="left"/>
      <w:pPr>
        <w:ind w:hanging="620" w:left="4966"/>
      </w:pPr>
    </w:lvl>
    <w:lvl w:ilvl="5">
      <w:start w:val="0"/>
      <w:numFmt w:val="bullet"/>
      <w:lvlText w:val="•"/>
      <w:lvlJc w:val="left"/>
      <w:pPr>
        <w:ind w:hanging="620" w:left="6063"/>
      </w:pPr>
    </w:lvl>
    <w:lvl w:ilvl="6">
      <w:start w:val="0"/>
      <w:numFmt w:val="bullet"/>
      <w:lvlText w:val="•"/>
      <w:lvlJc w:val="left"/>
      <w:pPr>
        <w:ind w:hanging="620" w:left="7159"/>
      </w:pPr>
    </w:lvl>
    <w:lvl w:ilvl="7">
      <w:start w:val="0"/>
      <w:numFmt w:val="bullet"/>
      <w:lvlText w:val="•"/>
      <w:lvlJc w:val="left"/>
      <w:pPr>
        <w:ind w:hanging="620" w:left="8256"/>
      </w:pPr>
    </w:lvl>
    <w:lvl w:ilvl="8">
      <w:start w:val="0"/>
      <w:numFmt w:val="bullet"/>
      <w:lvlText w:val="•"/>
      <w:lvlJc w:val="left"/>
      <w:pPr>
        <w:ind w:hanging="620" w:left="9353"/>
      </w:pPr>
    </w:lvl>
  </w:abstractNum>
  <w:abstractNum w:abstractNumId="4">
    <w:lvl w:ilvl="0">
      <w:start w:val="4"/>
      <w:numFmt w:val="decimal"/>
      <w:lvlText w:val="%1"/>
      <w:lvlJc w:val="left"/>
      <w:pPr>
        <w:ind w:hanging="461" w:left="589"/>
        <w:jc w:val="left"/>
      </w:pPr>
    </w:lvl>
    <w:lvl w:ilvl="1">
      <w:start w:val="1"/>
      <w:numFmt w:val="decimal"/>
      <w:lvlText w:val="%1.%2."/>
      <w:lvlJc w:val="left"/>
      <w:pPr>
        <w:ind w:hanging="461" w:left="589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2">
      <w:start w:val="0"/>
      <w:numFmt w:val="bullet"/>
      <w:lvlText w:val="•"/>
      <w:lvlJc w:val="left"/>
      <w:pPr>
        <w:ind w:hanging="461" w:left="2773"/>
      </w:pPr>
    </w:lvl>
    <w:lvl w:ilvl="3">
      <w:start w:val="0"/>
      <w:numFmt w:val="bullet"/>
      <w:lvlText w:val="•"/>
      <w:lvlJc w:val="left"/>
      <w:pPr>
        <w:ind w:hanging="461" w:left="3869"/>
      </w:pPr>
    </w:lvl>
    <w:lvl w:ilvl="4">
      <w:start w:val="0"/>
      <w:numFmt w:val="bullet"/>
      <w:lvlText w:val="•"/>
      <w:lvlJc w:val="left"/>
      <w:pPr>
        <w:ind w:hanging="461" w:left="4966"/>
      </w:pPr>
    </w:lvl>
    <w:lvl w:ilvl="5">
      <w:start w:val="0"/>
      <w:numFmt w:val="bullet"/>
      <w:lvlText w:val="•"/>
      <w:lvlJc w:val="left"/>
      <w:pPr>
        <w:ind w:hanging="461" w:left="6063"/>
      </w:pPr>
    </w:lvl>
    <w:lvl w:ilvl="6">
      <w:start w:val="0"/>
      <w:numFmt w:val="bullet"/>
      <w:lvlText w:val="•"/>
      <w:lvlJc w:val="left"/>
      <w:pPr>
        <w:ind w:hanging="461" w:left="7159"/>
      </w:pPr>
    </w:lvl>
    <w:lvl w:ilvl="7">
      <w:start w:val="0"/>
      <w:numFmt w:val="bullet"/>
      <w:lvlText w:val="•"/>
      <w:lvlJc w:val="left"/>
      <w:pPr>
        <w:ind w:hanging="461" w:left="8256"/>
      </w:pPr>
    </w:lvl>
    <w:lvl w:ilvl="8">
      <w:start w:val="0"/>
      <w:numFmt w:val="bullet"/>
      <w:lvlText w:val="•"/>
      <w:lvlJc w:val="left"/>
      <w:pPr>
        <w:ind w:hanging="461" w:left="935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rFonts w:ascii="Times New Roman" w:hAnsi="Times New Roman"/>
    </w:rPr>
  </w:style>
  <w:style w:default="1" w:styleId="Style_4_ch" w:type="character">
    <w:name w:val="Normal"/>
    <w:link w:val="Style_4"/>
    <w:rPr>
      <w:rFonts w:ascii="Times New Roman" w:hAnsi="Times New Roman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1" w:type="paragraph">
    <w:name w:val="Body Text"/>
    <w:basedOn w:val="Style_4"/>
    <w:link w:val="Style_1_ch"/>
    <w:pPr>
      <w:ind w:firstLine="0" w:left="589"/>
      <w:jc w:val="both"/>
    </w:pPr>
    <w:rPr>
      <w:rFonts w:ascii="Times New Roman" w:hAnsi="Times New Roman"/>
      <w:sz w:val="24"/>
    </w:rPr>
  </w:style>
  <w:style w:styleId="Style_1_ch" w:type="character">
    <w:name w:val="Body Text"/>
    <w:basedOn w:val="Style_4_ch"/>
    <w:link w:val="Style_1"/>
    <w:rPr>
      <w:rFonts w:ascii="Times New Roman" w:hAnsi="Times New Roman"/>
      <w:sz w:val="24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4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Table Paragraph"/>
    <w:basedOn w:val="Style_4"/>
    <w:link w:val="Style_11_ch"/>
    <w:pPr>
      <w:spacing w:line="251" w:lineRule="exact"/>
      <w:ind w:firstLine="0" w:left="30"/>
      <w:jc w:val="center"/>
    </w:pPr>
    <w:rPr>
      <w:rFonts w:ascii="Times New Roman" w:hAnsi="Times New Roman"/>
    </w:rPr>
  </w:style>
  <w:style w:styleId="Style_11_ch" w:type="character">
    <w:name w:val="Table Paragraph"/>
    <w:basedOn w:val="Style_4_ch"/>
    <w:link w:val="Style_11"/>
    <w:rPr>
      <w:rFonts w:ascii="Times New Roman" w:hAnsi="Times New Roman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2" w:type="paragraph">
    <w:name w:val="heading 1"/>
    <w:basedOn w:val="Style_4"/>
    <w:link w:val="Style_2_ch"/>
    <w:uiPriority w:val="9"/>
    <w:qFormat/>
    <w:pPr>
      <w:ind/>
      <w:outlineLvl w:val="0"/>
    </w:pPr>
    <w:rPr>
      <w:rFonts w:ascii="Times New Roman" w:hAnsi="Times New Roman"/>
      <w:b w:val="1"/>
      <w:sz w:val="24"/>
    </w:rPr>
  </w:style>
  <w:style w:styleId="Style_2_ch" w:type="character">
    <w:name w:val="heading 1"/>
    <w:basedOn w:val="Style_4_ch"/>
    <w:link w:val="Style_2"/>
    <w:rPr>
      <w:rFonts w:ascii="Times New Roman" w:hAnsi="Times New Roman"/>
      <w:b w:val="1"/>
      <w:sz w:val="24"/>
    </w:rPr>
  </w:style>
  <w:style w:styleId="Style_3" w:type="paragraph">
    <w:name w:val="List Paragraph"/>
    <w:basedOn w:val="Style_4"/>
    <w:link w:val="Style_3_ch"/>
    <w:pPr>
      <w:ind w:firstLine="0" w:left="589"/>
      <w:jc w:val="both"/>
    </w:pPr>
    <w:rPr>
      <w:rFonts w:ascii="Times New Roman" w:hAnsi="Times New Roman"/>
    </w:rPr>
  </w:style>
  <w:style w:styleId="Style_3_ch" w:type="character">
    <w:name w:val="List Paragraph"/>
    <w:basedOn w:val="Style_4_ch"/>
    <w:link w:val="Style_3"/>
    <w:rPr>
      <w:rFonts w:ascii="Times New Roman" w:hAnsi="Times New Roman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4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4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4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4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2024-11-12T04:22:11Z</dcterms:modified>
</cp:coreProperties>
</file>