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numPr>
          <w:ilvl w:val="0"/>
          <w:numId w:val="1"/>
        </w:numPr>
        <w:spacing w:after="0" w:before="0" w:line="240" w:lineRule="auto"/>
        <w:ind w:hanging="283" w:left="-567" w:right="0"/>
        <w:contextualSpacing w:val="1"/>
        <w:jc w:val="left"/>
        <w:rPr>
          <w:rFonts w:ascii="Times New Roman" w:hAnsi="Times New Roman"/>
          <w:color w:val="000000"/>
          <w:sz w:val="24"/>
        </w:rPr>
      </w:pPr>
      <w:r>
        <w:drawing>
          <wp:inline>
            <wp:extent cx="6867523" cy="901064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867523" cy="901064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</w:rPr>
        <w:t>деятельности организации;</w:t>
      </w:r>
    </w:p>
    <w:p w14:paraId="02000000">
      <w:pPr>
        <w:numPr>
          <w:ilvl w:val="0"/>
          <w:numId w:val="1"/>
        </w:num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формирование открытого и эффективного сообщества вокруг образовательной организации, способного на комплексную поддержку ее деятельности, в котором выстроены доверительные и партнерские отношения</w:t>
      </w:r>
      <w:r>
        <w:rPr>
          <w:rFonts w:ascii="Times New Roman" w:hAnsi="Times New Roman"/>
          <w:color w:val="000000"/>
          <w:sz w:val="24"/>
        </w:rPr>
        <w:t>.</w:t>
      </w:r>
    </w:p>
    <w:p w14:paraId="03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3. Порядок организации наставничества</w:t>
      </w:r>
    </w:p>
    <w:p w14:paraId="04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3.1. Наставляемые определяются путем выявления конкретных проблем у </w:t>
      </w:r>
      <w:r>
        <w:rPr>
          <w:rFonts w:ascii="Times New Roman" w:hAnsi="Times New Roman"/>
          <w:color w:val="000000"/>
          <w:sz w:val="24"/>
        </w:rPr>
        <w:t>обучающихся и</w:t>
      </w:r>
      <w:r>
        <w:rPr>
          <w:rFonts w:ascii="Times New Roman" w:hAnsi="Times New Roman"/>
          <w:color w:val="000000"/>
          <w:sz w:val="24"/>
        </w:rPr>
        <w:t> работников, которые можно решить с помощью наставничества.</w:t>
      </w:r>
    </w:p>
    <w:p w14:paraId="05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3.2. Наставники подбираются из числа работников организации и приглашенных специалистов из наиболее подготовленных, обладающих высокими профессиональными и моральными качествами, проявляющих способности к воспитательной работе и пользующихся авторитетом в коллективе.</w:t>
      </w:r>
    </w:p>
    <w:p w14:paraId="06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3.3. Наставничество устанавливается продолжительностью от одного месяца до одного года в зависимости от его задач и запроса наставляемого.</w:t>
      </w:r>
    </w:p>
    <w:p w14:paraId="07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3.4. Наставничество может быть индивидуальным (направленное на одного наставляемого) и (или) коллективным (когда наставничество распространяется на группу наставляемых).</w:t>
      </w:r>
    </w:p>
    <w:p w14:paraId="08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3.5. Назначение наставника осуществляется на добровольной основе с обязательным письменным согласием лица, назначаемого наставником, (в том числе в виде подписания дополнительного соглашения к трудовому договору о выполнении дополнительной работы по наставничеству) </w:t>
      </w:r>
      <w:r>
        <w:rPr>
          <w:rFonts w:ascii="Times New Roman" w:hAnsi="Times New Roman"/>
          <w:color w:val="000000"/>
          <w:sz w:val="24"/>
        </w:rPr>
        <w:t>и лица, в отношении которого осуществляется наставничество.</w:t>
      </w:r>
    </w:p>
    <w:p w14:paraId="09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3.6. Срок наставничества может быть продлен в случае временной нетрудоспособности, командировки или иного продолжительного отсутствия по уважительным причинам наставника или лица, в отношении которого осуществляется наставничество, по другим веским причинам.</w:t>
      </w:r>
    </w:p>
    <w:p w14:paraId="0A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3.7. Наставничество прекращается до истечения установленного срока в случае неисполнения лицом, в отношении которого осуществляется наставничество, обязанностей, предусмотренных настоящим положением, или по решению руководителя организации.</w:t>
      </w:r>
    </w:p>
    <w:p w14:paraId="0B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3.8. Результатами эффективного наставничества считаются:</w:t>
      </w:r>
    </w:p>
    <w:p w14:paraId="0C000000">
      <w:pPr>
        <w:numPr>
          <w:ilvl w:val="0"/>
          <w:numId w:val="2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улучшение показателей организации: образовательных, спортивных, культурных;</w:t>
      </w:r>
    </w:p>
    <w:p w14:paraId="0D000000">
      <w:pPr>
        <w:numPr>
          <w:ilvl w:val="0"/>
          <w:numId w:val="2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развитие личности наставляемого, раскрытие его потенциала;</w:t>
      </w:r>
    </w:p>
    <w:p w14:paraId="0E000000">
      <w:pPr>
        <w:numPr>
          <w:ilvl w:val="0"/>
          <w:numId w:val="2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улучшение психологического климата образовательной организации, создание психологически комфортной и плодотворной среды развития работников;</w:t>
      </w:r>
    </w:p>
    <w:p w14:paraId="0F000000">
      <w:pPr>
        <w:numPr>
          <w:ilvl w:val="0"/>
          <w:numId w:val="2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привлечение дополнительных ресурсов и инвестиций в развитие инновационных образовательных и социальных программ </w:t>
      </w:r>
      <w:r>
        <w:rPr>
          <w:rFonts w:ascii="Times New Roman" w:hAnsi="Times New Roman"/>
          <w:color w:val="000000"/>
          <w:sz w:val="24"/>
        </w:rPr>
        <w:t>образовательной организации;</w:t>
      </w:r>
    </w:p>
    <w:p w14:paraId="10000000">
      <w:pPr>
        <w:numPr>
          <w:ilvl w:val="0"/>
          <w:numId w:val="2"/>
        </w:num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уменьшение текучести кадров </w:t>
      </w:r>
      <w:r>
        <w:rPr>
          <w:rFonts w:ascii="Times New Roman" w:hAnsi="Times New Roman"/>
          <w:color w:val="000000"/>
          <w:sz w:val="24"/>
        </w:rPr>
        <w:t>образовательной организации</w:t>
      </w:r>
      <w:r>
        <w:rPr>
          <w:rFonts w:ascii="Times New Roman" w:hAnsi="Times New Roman"/>
          <w:color w:val="000000"/>
          <w:sz w:val="24"/>
        </w:rPr>
        <w:t>.</w:t>
      </w:r>
    </w:p>
    <w:p w14:paraId="11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3.9. В целях поощрения наставника за осуществление наставничества предусматривается:</w:t>
      </w:r>
    </w:p>
    <w:p w14:paraId="12000000">
      <w:pPr>
        <w:numPr>
          <w:ilvl w:val="0"/>
          <w:numId w:val="3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объявление благодарности, награждение почетной грамотой;</w:t>
      </w:r>
    </w:p>
    <w:p w14:paraId="13000000">
      <w:pPr>
        <w:numPr>
          <w:ilvl w:val="0"/>
          <w:numId w:val="3"/>
        </w:num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материальные поощрения в соответствии с локальными нормативными актами школы.</w:t>
      </w:r>
    </w:p>
    <w:p w14:paraId="14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4. Руководство наставничеством</w:t>
      </w:r>
    </w:p>
    <w:p w14:paraId="15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4.1. Внедрение и реализация наставничества возлагаются на ответственного за функционирование системы наставничества работников, который назначается распорядительным актом руководителя образовательной организации.</w:t>
      </w:r>
    </w:p>
    <w:p w14:paraId="16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4.2. Ответственный за функционирование системы наставничества работников осуществляет следующие функции:</w:t>
      </w:r>
    </w:p>
    <w:p w14:paraId="17000000">
      <w:pPr>
        <w:numPr>
          <w:ilvl w:val="0"/>
          <w:numId w:val="4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ведение и корректировку баз наставников и наставляемых;</w:t>
      </w:r>
    </w:p>
    <w:p w14:paraId="18000000">
      <w:pPr>
        <w:numPr>
          <w:ilvl w:val="0"/>
          <w:numId w:val="4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организацию обучения наставников;</w:t>
      </w:r>
    </w:p>
    <w:p w14:paraId="19000000">
      <w:pPr>
        <w:numPr>
          <w:ilvl w:val="0"/>
          <w:numId w:val="4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контроль реализации программ наставничества, в том числе в виде мониторинга;</w:t>
      </w:r>
    </w:p>
    <w:p w14:paraId="1A000000">
      <w:pPr>
        <w:numPr>
          <w:ilvl w:val="0"/>
          <w:numId w:val="4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решение организационных вопросов, возникающих в процессе реализации наставничества;</w:t>
      </w:r>
    </w:p>
    <w:p w14:paraId="1B000000">
      <w:pPr>
        <w:numPr>
          <w:ilvl w:val="0"/>
          <w:numId w:val="4"/>
        </w:num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получение и анализ обратной связи от участников программы.</w:t>
      </w:r>
    </w:p>
    <w:p w14:paraId="1C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4.3. Ответственный за функционирование системы наставничества работников уполномочен:</w:t>
      </w:r>
    </w:p>
    <w:p w14:paraId="1D000000">
      <w:pPr>
        <w:numPr>
          <w:ilvl w:val="0"/>
          <w:numId w:val="5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кандидатуру наставника и наставляемого;</w:t>
      </w:r>
    </w:p>
    <w:p w14:paraId="1E000000">
      <w:pPr>
        <w:numPr>
          <w:ilvl w:val="0"/>
          <w:numId w:val="5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число лиц, в отношении которых наставник одновременно осуществляет наставничество;</w:t>
      </w:r>
    </w:p>
    <w:p w14:paraId="1F000000">
      <w:pPr>
        <w:numPr>
          <w:ilvl w:val="0"/>
          <w:numId w:val="5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срок наставничества (реализации программы наставничества);</w:t>
      </w:r>
    </w:p>
    <w:p w14:paraId="20000000">
      <w:pPr>
        <w:numPr>
          <w:ilvl w:val="0"/>
          <w:numId w:val="5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осуществлять контроль деятельности наставника и деятельности наставляемого, вносить необходимые изменения и дополнения в процесс работы по наставничеству, программу наставничества;</w:t>
      </w:r>
    </w:p>
    <w:p w14:paraId="21000000">
      <w:pPr>
        <w:numPr>
          <w:ilvl w:val="0"/>
          <w:numId w:val="5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вносить предложения о замене наставника;</w:t>
      </w:r>
    </w:p>
    <w:p w14:paraId="22000000">
      <w:pPr>
        <w:numPr>
          <w:ilvl w:val="0"/>
          <w:numId w:val="5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вносить предложения о поощрении наставника;</w:t>
      </w:r>
    </w:p>
    <w:p w14:paraId="23000000">
      <w:pPr>
        <w:numPr>
          <w:ilvl w:val="0"/>
          <w:numId w:val="5"/>
        </w:num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обеспечивать своевременное представление надлежаще оформленных документов по итогам наставничества.</w:t>
      </w:r>
    </w:p>
    <w:p w14:paraId="24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5. Права и обязанности наставника</w:t>
      </w:r>
    </w:p>
    <w:p w14:paraId="25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5.1. Наставник имеет право:</w:t>
      </w:r>
    </w:p>
    <w:p w14:paraId="26000000">
      <w:pPr>
        <w:numPr>
          <w:ilvl w:val="0"/>
          <w:numId w:val="6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вносить предложения ответственному за функционирование системы наставничества работников или руководителю структурного подразделения, в котором работает наставляемый, о создании условий для совместной работы;</w:t>
      </w:r>
    </w:p>
    <w:p w14:paraId="27000000">
      <w:pPr>
        <w:numPr>
          <w:ilvl w:val="0"/>
          <w:numId w:val="6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требовать от наставляемого, выполнения указаний по вопросам, связанным с его деятельностью и реализацией программы наставничества;</w:t>
      </w:r>
    </w:p>
    <w:p w14:paraId="28000000">
      <w:pPr>
        <w:numPr>
          <w:ilvl w:val="0"/>
          <w:numId w:val="6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осуществлять контроль деятельности наставляемого в форме личной проверки выполнения заданий, поручений и качества выполненной работы;</w:t>
      </w:r>
    </w:p>
    <w:p w14:paraId="29000000">
      <w:pPr>
        <w:numPr>
          <w:ilvl w:val="0"/>
          <w:numId w:val="6"/>
        </w:num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обращаться с заявлением к руководителю образовательной организации с просьбой о сложении с него обязанностей наставника конкретного лица, в отношении которого осуществляется наставничество.</w:t>
      </w:r>
    </w:p>
    <w:p w14:paraId="2A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5.2. Наставник обязан:</w:t>
      </w:r>
    </w:p>
    <w:p w14:paraId="2B000000">
      <w:pPr>
        <w:numPr>
          <w:ilvl w:val="0"/>
          <w:numId w:val="7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составить и реализовывать программу наставничества;</w:t>
      </w:r>
    </w:p>
    <w:p w14:paraId="2C000000">
      <w:pPr>
        <w:numPr>
          <w:ilvl w:val="0"/>
          <w:numId w:val="7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руководствоваться требованиями законодательства РФ и локальных нормативных актов организации при осуществлении наставнической деятельности;</w:t>
      </w:r>
    </w:p>
    <w:p w14:paraId="2D000000">
      <w:pPr>
        <w:numPr>
          <w:ilvl w:val="0"/>
          <w:numId w:val="7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способствовать формированию у наставляемого высоких профессиональных и морально-психологических качеств;</w:t>
      </w:r>
    </w:p>
    <w:p w14:paraId="2E000000">
      <w:pPr>
        <w:numPr>
          <w:ilvl w:val="0"/>
          <w:numId w:val="7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оказывать содействие наставляемому в исполнении его обязанностей, ознакомлении с основными направлениями деятельности, полномочиями и основами корпоративной культуры;</w:t>
      </w:r>
    </w:p>
    <w:p w14:paraId="2F000000">
      <w:pPr>
        <w:numPr>
          <w:ilvl w:val="0"/>
          <w:numId w:val="7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оказывать содействие наставляемому в изучении законодательства РФ и локальных нормативных актов организации, регламентирующих исполнение должностных обязанностей наставляемого;</w:t>
      </w:r>
    </w:p>
    <w:p w14:paraId="30000000">
      <w:pPr>
        <w:numPr>
          <w:ilvl w:val="0"/>
          <w:numId w:val="7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способствовать освоению наставляемым практических приемов и способов качественного выполнения своих обязанностей, устранению допущенных ошибок;</w:t>
      </w:r>
    </w:p>
    <w:p w14:paraId="31000000">
      <w:pPr>
        <w:numPr>
          <w:ilvl w:val="0"/>
          <w:numId w:val="7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передавать наставляемому накопленный опыт профессионального мастерства, обучать наиболее рациональным приемам, передовым и безопасным методам работы;</w:t>
      </w:r>
    </w:p>
    <w:p w14:paraId="32000000">
      <w:pPr>
        <w:numPr>
          <w:ilvl w:val="0"/>
          <w:numId w:val="7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привлекать к участию в общественной жизни коллектива образовательной организации;</w:t>
      </w:r>
    </w:p>
    <w:p w14:paraId="33000000">
      <w:pPr>
        <w:numPr>
          <w:ilvl w:val="0"/>
          <w:numId w:val="7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способствовать формированию у наставляемого дисциплинированности и исполнительности, нацеленности на результативную работу, рост производительности труда, проявлению требовательности в вопросах соблюдения норм профессиональной этики;</w:t>
      </w:r>
    </w:p>
    <w:p w14:paraId="34000000">
      <w:pPr>
        <w:numPr>
          <w:ilvl w:val="0"/>
          <w:numId w:val="7"/>
        </w:num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докладывать ответственному о процессе адаптации наставляемого, его достижениях, результатах реализации программы развития.</w:t>
      </w:r>
    </w:p>
    <w:p w14:paraId="35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6. Права и обязанности наставляемого</w:t>
      </w:r>
    </w:p>
    <w:p w14:paraId="36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6.1. Наставляемый имеет право:</w:t>
      </w:r>
    </w:p>
    <w:p w14:paraId="37000000">
      <w:pPr>
        <w:numPr>
          <w:ilvl w:val="0"/>
          <w:numId w:val="8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обращаться к наставнику за помощью по вопросам, связанным с реализацией программы наставничества;</w:t>
      </w:r>
    </w:p>
    <w:p w14:paraId="38000000">
      <w:pPr>
        <w:numPr>
          <w:ilvl w:val="0"/>
          <w:numId w:val="8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вносить предложения по корректировке программы наставничества;</w:t>
      </w:r>
    </w:p>
    <w:p w14:paraId="39000000">
      <w:pPr>
        <w:numPr>
          <w:ilvl w:val="0"/>
          <w:numId w:val="8"/>
        </w:num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обращаться к ответственному с ходатайством о замене наставника.</w:t>
      </w:r>
    </w:p>
    <w:p w14:paraId="3A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6.2. Наставляемый обязан:</w:t>
      </w:r>
    </w:p>
    <w:p w14:paraId="3B000000">
      <w:pPr>
        <w:numPr>
          <w:ilvl w:val="0"/>
          <w:numId w:val="9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мероприятия программы наставничества в установленные сроки;</w:t>
      </w:r>
    </w:p>
    <w:p w14:paraId="3C000000">
      <w:pPr>
        <w:numPr>
          <w:ilvl w:val="0"/>
          <w:numId w:val="9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указания и рекомендации наставника по исполнению обязанностей при реализации программы наставничества;</w:t>
      </w:r>
    </w:p>
    <w:p w14:paraId="3D000000">
      <w:pPr>
        <w:numPr>
          <w:ilvl w:val="0"/>
          <w:numId w:val="9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совершенствовать профессиональные навыки, практические приемы и способы качественного исполнения обязанностей;</w:t>
      </w:r>
    </w:p>
    <w:p w14:paraId="3E000000">
      <w:pPr>
        <w:numPr>
          <w:ilvl w:val="0"/>
          <w:numId w:val="9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устранять совместно с наставником допущенные ошибки;</w:t>
      </w:r>
    </w:p>
    <w:p w14:paraId="3F000000">
      <w:pPr>
        <w:numPr>
          <w:ilvl w:val="0"/>
          <w:numId w:val="9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проявлять дисциплинированность, организованность и культуру в работе;</w:t>
      </w:r>
    </w:p>
    <w:p w14:paraId="40000000">
      <w:pPr>
        <w:numPr>
          <w:ilvl w:val="0"/>
          <w:numId w:val="9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обучаться наиболее рациональным приемам и передовым методам работы;</w:t>
      </w:r>
    </w:p>
    <w:p w14:paraId="41000000">
      <w:pPr>
        <w:numPr>
          <w:ilvl w:val="0"/>
          <w:numId w:val="9"/>
        </w:num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участвовать в общественной жизни коллектива образовательной организации.</w:t>
      </w:r>
    </w:p>
    <w:p w14:paraId="42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7. Разработка программы наставничества</w:t>
      </w:r>
    </w:p>
    <w:p w14:paraId="43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7.1. Программа наставничества (далее – программа) разрабатывается наставником или ответственным за функционирование системы наставничества работников, другим работником, назначенным руководителем образовательной организации, в соответствии с Положением, локальными нормативными актами организации и запросом наставляемого.</w:t>
      </w:r>
    </w:p>
    <w:p w14:paraId="44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7.2. Программа носит срочный характер, срок ее реализации определяется запросами потенциальных наставляемых в данный период с возможностью пролонгации при необходимости. Программа может корректироваться наставником и ответственным при обязательном согласовании с участниками исходя из специфики ситуации.</w:t>
      </w:r>
    </w:p>
    <w:p w14:paraId="45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7.3. Программа должна определять наиболее оптимальные и эффективные для удовлетворения выявленных у потенциальных наставляемых запросов формы, методы и приемы организации наставничества, учитывая имеющиеся у образовательной организации ресурсы.</w:t>
      </w:r>
    </w:p>
    <w:p w14:paraId="46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7.4. Структура программы должна соответствовать таблице, приведенной ниже.</w:t>
      </w:r>
    </w:p>
    <w:p w14:paraId="47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Структура программы</w:t>
      </w:r>
    </w:p>
    <w:tbl>
      <w:tblPr>
        <w:tblStyle w:val="Style_1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1131"/>
        <w:gridCol w:w="3009"/>
        <w:gridCol w:w="5498"/>
      </w:tblGrid>
      <w:tr>
        <w:trPr>
          <w:trHeight w:hRule="atLeast" w:val="0"/>
        </w:trPr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48000000">
            <w:pPr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№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п/п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49000000">
            <w:pPr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Элементы программы</w:t>
            </w:r>
          </w:p>
        </w:tc>
        <w:tc>
          <w:tcPr>
            <w:tcW w:type="dxa" w:w="54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4A000000">
            <w:pPr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Содержание элементов программы</w:t>
            </w:r>
          </w:p>
        </w:tc>
      </w:tr>
      <w:tr>
        <w:trPr>
          <w:trHeight w:hRule="atLeast" w:val="27"/>
        </w:trPr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4B000000">
            <w:pPr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1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4C000000">
            <w:pPr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Пояснительная записка</w:t>
            </w:r>
          </w:p>
        </w:tc>
        <w:tc>
          <w:tcPr>
            <w:tcW w:type="dxa" w:w="54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4D000000">
            <w:pPr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Цель и задачи программы наставничества в соответствии с выявленным запросом наставляемого</w:t>
            </w:r>
          </w:p>
        </w:tc>
      </w:tr>
      <w:tr>
        <w:trPr>
          <w:trHeight w:hRule="atLeast" w:val="0"/>
        </w:trPr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4E000000">
            <w:pPr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2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4F000000">
            <w:pPr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План-график реализации программы</w:t>
            </w:r>
          </w:p>
        </w:tc>
        <w:tc>
          <w:tcPr>
            <w:tcW w:type="dxa" w:w="54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50000000">
            <w:pPr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Таблица с мероприятиями и сроками реализации программы, ответственными, описанием итогового или контрольного события, результата</w:t>
            </w:r>
          </w:p>
        </w:tc>
      </w:tr>
      <w:tr>
        <w:trPr>
          <w:trHeight w:hRule="atLeast" w:val="0"/>
        </w:trPr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51000000">
            <w:pPr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3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52000000">
            <w:pPr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Мониторинг эффективности реализации программы</w:t>
            </w:r>
          </w:p>
        </w:tc>
        <w:tc>
          <w:tcPr>
            <w:tcW w:type="dxa" w:w="54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53000000">
            <w:pPr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содержания, этапов и сроков мониторинга и ответственных за его проведение</w:t>
            </w:r>
          </w:p>
        </w:tc>
      </w:tr>
      <w:tr>
        <w:trPr>
          <w:trHeight w:hRule="atLeast" w:val="0"/>
        </w:trPr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54000000">
            <w:pPr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4</w:t>
            </w:r>
          </w:p>
        </w:tc>
        <w:tc>
          <w:tcPr>
            <w:tcW w:type="dxa" w:w="30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55000000">
            <w:pPr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Приложение</w:t>
            </w:r>
          </w:p>
        </w:tc>
        <w:tc>
          <w:tcPr>
            <w:tcW w:type="dxa" w:w="549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top"/>
          </w:tcPr>
          <w:p w14:paraId="56000000">
            <w:pPr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Анкеты, опросники, справки, иные материалы, необходимые для реализации программы</w:t>
            </w:r>
          </w:p>
        </w:tc>
      </w:tr>
    </w:tbl>
    <w:p w14:paraId="57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7.5. Программа утверждается </w:t>
      </w:r>
      <w:r>
        <w:rPr>
          <w:rFonts w:ascii="Times New Roman" w:hAnsi="Times New Roman"/>
          <w:color w:val="000000"/>
          <w:sz w:val="24"/>
        </w:rPr>
        <w:t>ответственным за функционирование системы наставничества работников после согласования с руководителем организации</w:t>
      </w:r>
      <w:r>
        <w:rPr>
          <w:rFonts w:ascii="Times New Roman" w:hAnsi="Times New Roman"/>
          <w:color w:val="000000"/>
          <w:sz w:val="24"/>
        </w:rPr>
        <w:t>.</w:t>
      </w:r>
    </w:p>
    <w:p w14:paraId="58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8. Мониторинг и оценка результатов реализации программы наставничества</w:t>
      </w:r>
    </w:p>
    <w:p w14:paraId="59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8.1. Мониторинг реализации программы наставничества состоит из двух основных этапов:</w:t>
      </w:r>
    </w:p>
    <w:p w14:paraId="5A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1) оценка качества процесса реализации программы наставничества;</w:t>
      </w:r>
    </w:p>
    <w:p w14:paraId="5B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2) оценка мотивационно-личностного, компетентностного, профессионального роста наставляемых.</w:t>
      </w:r>
    </w:p>
    <w:p w14:paraId="5C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8.2. Мониторинг реализации программы наставничества осуществляется на основе анкетирования и опросов участников программы в соответствии с графиком, установленным программой.</w:t>
      </w:r>
    </w:p>
    <w:p w14:paraId="5D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8.3. В целях обеспечения открытости реализации модели наставничества на сайте образовательной организации размещается и своевременно обновляется следующая информация:</w:t>
      </w:r>
    </w:p>
    <w:p w14:paraId="5E000000">
      <w:pPr>
        <w:numPr>
          <w:ilvl w:val="0"/>
          <w:numId w:val="10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реестр наставников;</w:t>
      </w:r>
    </w:p>
    <w:p w14:paraId="5F000000">
      <w:pPr>
        <w:numPr>
          <w:ilvl w:val="0"/>
          <w:numId w:val="10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мини-портфолио наставников;</w:t>
      </w:r>
    </w:p>
    <w:p w14:paraId="60000000">
      <w:pPr>
        <w:numPr>
          <w:ilvl w:val="0"/>
          <w:numId w:val="10"/>
        </w:numPr>
        <w:spacing w:after="0" w:before="0" w:line="240" w:lineRule="auto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перечень социальных партнеров, участвующих в реализации программы наставничества;</w:t>
      </w:r>
    </w:p>
    <w:p w14:paraId="61000000">
      <w:pPr>
        <w:numPr>
          <w:ilvl w:val="0"/>
          <w:numId w:val="10"/>
        </w:num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анонсы мероприятий, проводимых в рамках внедрения целевой модели наставничества, и др.</w:t>
      </w:r>
    </w:p>
    <w:p w14:paraId="62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9. Порядок прекращения наставничества</w:t>
      </w:r>
    </w:p>
    <w:p w14:paraId="63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9.1. Наставничество завершается по истечении срока, на который оно было установлено.</w:t>
      </w:r>
    </w:p>
    <w:p w14:paraId="64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9.2. Работник имеет право досрочно отказаться от наставничества, а работодатель — досрочно его отменить, предупредив об этом другую сторону не менее чем за три рабочих дня. Для этого наставник подает заявление, а работодатель вручает ему уведомление о прекращении наставничества. Досрочное прекращение наставничества работодатель оформляет приказом, с которым знакомит наставника и наставляемого под подпись.</w:t>
      </w:r>
    </w:p>
    <w:sectPr>
      <w:pgSz w:h="16839" w:orient="portrait" w:w="11907"/>
      <w:pgMar w:bottom="1440" w:footer="720" w:gutter="0" w:header="720" w:left="1440" w:right="829" w:top="14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Autospacing="on" w:beforeAutospacing="on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heading 3"/>
    <w:next w:val="Style_2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2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Default Paragraph Font"/>
    <w:link w:val="Style_9_ch"/>
  </w:style>
  <w:style w:styleId="Style_9_ch" w:type="character">
    <w:name w:val="Default Paragraph Font"/>
    <w:link w:val="Style_9"/>
  </w:style>
  <w:style w:styleId="Style_10" w:type="paragraph">
    <w:name w:val="heading 5"/>
    <w:next w:val="Style_2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heading 1"/>
    <w:basedOn w:val="Style_2"/>
    <w:next w:val="Style_2"/>
    <w:link w:val="Style_11_ch"/>
    <w:uiPriority w:val="9"/>
    <w:qFormat/>
    <w:pPr>
      <w:keepNext w:val="1"/>
      <w:keepLines w:val="1"/>
      <w:ind/>
      <w:outlineLvl w:val="0"/>
    </w:pPr>
    <w:rPr>
      <w:rFonts w:asciiTheme="majorAscii" w:hAnsiTheme="majorHAnsi"/>
      <w:b w:val="1"/>
      <w:color w:themeColor="accent1" w:themeShade="BF" w:val="376092"/>
      <w:sz w:val="28"/>
    </w:rPr>
  </w:style>
  <w:style w:styleId="Style_11_ch" w:type="character">
    <w:name w:val="heading 1"/>
    <w:basedOn w:val="Style_2_ch"/>
    <w:link w:val="Style_11"/>
    <w:rPr>
      <w:rFonts w:asciiTheme="majorAscii" w:hAnsiTheme="majorHAnsi"/>
      <w:b w:val="1"/>
      <w:color w:themeColor="accent1" w:themeShade="BF" w:val="376092"/>
      <w:sz w:val="28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2"/>
    <w:link w:val="Style_1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Header and Footer"/>
    <w:link w:val="Style_15_ch"/>
    <w:pPr>
      <w:spacing w:line="240" w:lineRule="auto"/>
      <w:ind/>
      <w:jc w:val="both"/>
    </w:pPr>
    <w:rPr>
      <w:rFonts w:ascii="XO Thames" w:hAnsi="XO Thames"/>
      <w:sz w:val="20"/>
    </w:rPr>
  </w:style>
  <w:style w:styleId="Style_15_ch" w:type="character">
    <w:name w:val="Header and Footer"/>
    <w:link w:val="Style_15"/>
    <w:rPr>
      <w:rFonts w:ascii="XO Thames" w:hAnsi="XO Thames"/>
      <w:sz w:val="20"/>
    </w:rPr>
  </w:style>
  <w:style w:styleId="Style_16" w:type="paragraph">
    <w:name w:val="toc 9"/>
    <w:next w:val="Style_2"/>
    <w:link w:val="Style_1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6_ch" w:type="character">
    <w:name w:val="toc 9"/>
    <w:link w:val="Style_16"/>
    <w:rPr>
      <w:rFonts w:ascii="XO Thames" w:hAnsi="XO Thames"/>
      <w:sz w:val="28"/>
    </w:rPr>
  </w:style>
  <w:style w:styleId="Style_17" w:type="paragraph">
    <w:name w:val="toc 8"/>
    <w:next w:val="Style_2"/>
    <w:link w:val="Style_1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7_ch" w:type="character">
    <w:name w:val="toc 8"/>
    <w:link w:val="Style_17"/>
    <w:rPr>
      <w:rFonts w:ascii="XO Thames" w:hAnsi="XO Thames"/>
      <w:sz w:val="28"/>
    </w:rPr>
  </w:style>
  <w:style w:styleId="Style_18" w:type="paragraph">
    <w:name w:val="toc 5"/>
    <w:next w:val="Style_2"/>
    <w:link w:val="Style_1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8_ch" w:type="character">
    <w:name w:val="toc 5"/>
    <w:link w:val="Style_18"/>
    <w:rPr>
      <w:rFonts w:ascii="XO Thames" w:hAnsi="XO Thames"/>
      <w:sz w:val="28"/>
    </w:rPr>
  </w:style>
  <w:style w:styleId="Style_19" w:type="paragraph">
    <w:name w:val="Subtitle"/>
    <w:next w:val="Style_2"/>
    <w:link w:val="Style_1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9_ch" w:type="character">
    <w:name w:val="Subtitle"/>
    <w:link w:val="Style_19"/>
    <w:rPr>
      <w:rFonts w:ascii="XO Thames" w:hAnsi="XO Thames"/>
      <w:i w:val="1"/>
      <w:sz w:val="24"/>
    </w:rPr>
  </w:style>
  <w:style w:styleId="Style_20" w:type="paragraph">
    <w:name w:val="Title"/>
    <w:next w:val="Style_2"/>
    <w:link w:val="Style_2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0_ch" w:type="character">
    <w:name w:val="Title"/>
    <w:link w:val="Style_20"/>
    <w:rPr>
      <w:rFonts w:ascii="XO Thames" w:hAnsi="XO Thames"/>
      <w:b w:val="1"/>
      <w:caps w:val="1"/>
      <w:sz w:val="40"/>
    </w:rPr>
  </w:style>
  <w:style w:styleId="Style_21" w:type="paragraph">
    <w:name w:val="heading 4"/>
    <w:next w:val="Style_2"/>
    <w:link w:val="Style_2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1_ch" w:type="character">
    <w:name w:val="heading 4"/>
    <w:link w:val="Style_21"/>
    <w:rPr>
      <w:rFonts w:ascii="XO Thames" w:hAnsi="XO Thames"/>
      <w:b w:val="1"/>
      <w:sz w:val="24"/>
    </w:rPr>
  </w:style>
  <w:style w:styleId="Style_22" w:type="paragraph">
    <w:name w:val="heading 2"/>
    <w:next w:val="Style_2"/>
    <w:link w:val="Style_2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2_ch" w:type="character">
    <w:name w:val="heading 2"/>
    <w:link w:val="Style_22"/>
    <w:rPr>
      <w:rFonts w:ascii="XO Thames" w:hAnsi="XO Thames"/>
      <w:b w:val="1"/>
      <w:sz w:val="28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2025-11-14T23:58:09Z</dcterms:modified>
</cp:coreProperties>
</file>